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EDC" w:rsidRPr="008E5EDC" w:rsidRDefault="008E5EDC" w:rsidP="008E5EDC">
      <w:pPr>
        <w:shd w:val="clear" w:color="auto" w:fill="FFFFFF"/>
        <w:spacing w:before="100" w:beforeAutospacing="1" w:after="100" w:afterAutospacing="1" w:line="240" w:lineRule="auto"/>
        <w:outlineLvl w:val="0"/>
        <w:rPr>
          <w:rFonts w:ascii="Helvetica" w:eastAsia="Times New Roman" w:hAnsi="Helvetica" w:cs="Helvetica"/>
          <w:color w:val="443C3C"/>
          <w:kern w:val="36"/>
          <w:sz w:val="54"/>
          <w:szCs w:val="54"/>
          <w:lang w:eastAsia="ru-RU"/>
        </w:rPr>
      </w:pPr>
      <w:r w:rsidRPr="008E5EDC">
        <w:rPr>
          <w:rFonts w:ascii="Helvetica" w:eastAsia="Times New Roman" w:hAnsi="Helvetica" w:cs="Helvetica"/>
          <w:color w:val="443C3C"/>
          <w:kern w:val="36"/>
          <w:sz w:val="54"/>
          <w:szCs w:val="54"/>
          <w:lang w:eastAsia="ru-RU"/>
        </w:rPr>
        <w:t>Тестирование физических лиц</w:t>
      </w:r>
    </w:p>
    <w:p w:rsidR="008E5EDC" w:rsidRPr="008E5EDC" w:rsidRDefault="008E5EDC" w:rsidP="008E5EDC">
      <w:pPr>
        <w:shd w:val="clear" w:color="auto" w:fill="FFFFFF"/>
        <w:spacing w:after="0" w:line="240" w:lineRule="auto"/>
        <w:rPr>
          <w:rFonts w:ascii="Helvetica" w:eastAsia="Times New Roman" w:hAnsi="Helvetica" w:cs="Helvetica"/>
          <w:color w:val="443C3C"/>
          <w:sz w:val="30"/>
          <w:szCs w:val="30"/>
          <w:lang w:eastAsia="ru-RU"/>
        </w:rPr>
      </w:pPr>
      <w:r w:rsidRPr="008E5EDC">
        <w:rPr>
          <w:rFonts w:ascii="Helvetica" w:eastAsia="Times New Roman" w:hAnsi="Helvetica" w:cs="Helvetica"/>
          <w:color w:val="443C3C"/>
          <w:sz w:val="30"/>
          <w:szCs w:val="30"/>
          <w:lang w:eastAsia="ru-RU"/>
        </w:rPr>
        <w:t>Для неквалифицированных инвесторов</w:t>
      </w:r>
    </w:p>
    <w:p w:rsidR="008E5EDC" w:rsidRPr="008E5EDC" w:rsidRDefault="008E5EDC" w:rsidP="008E5EDC">
      <w:pPr>
        <w:shd w:val="clear" w:color="auto" w:fill="FFFFFF"/>
        <w:spacing w:after="0" w:line="240" w:lineRule="auto"/>
        <w:rPr>
          <w:rFonts w:ascii="Helvetica" w:eastAsia="Times New Roman" w:hAnsi="Helvetica" w:cs="Helvetica"/>
          <w:color w:val="443C3C"/>
          <w:sz w:val="30"/>
          <w:szCs w:val="30"/>
          <w:lang w:eastAsia="ru-RU"/>
        </w:rPr>
      </w:pPr>
      <w:r w:rsidRPr="008E5EDC">
        <w:rPr>
          <w:rFonts w:ascii="Helvetica" w:eastAsia="Times New Roman" w:hAnsi="Helvetica" w:cs="Helvetica"/>
          <w:color w:val="443C3C"/>
          <w:sz w:val="30"/>
          <w:szCs w:val="30"/>
          <w:lang w:eastAsia="ru-RU"/>
        </w:rPr>
        <w:t>Возможность заключать сделки (договоры), требующие проведения тестирования согласно закону «О рынке ценных бумаг»</w:t>
      </w:r>
    </w:p>
    <w:p w:rsidR="00387B5C" w:rsidRPr="00387B5C" w:rsidRDefault="00387B5C" w:rsidP="00387B5C">
      <w:pPr>
        <w:shd w:val="clear" w:color="auto" w:fill="FFFFFF"/>
        <w:spacing w:before="360" w:after="216" w:line="240" w:lineRule="auto"/>
        <w:rPr>
          <w:rFonts w:ascii="Helvetica" w:eastAsia="Times New Roman" w:hAnsi="Helvetica" w:cs="Helvetica"/>
          <w:color w:val="443C3C"/>
          <w:sz w:val="23"/>
          <w:szCs w:val="23"/>
          <w:lang w:eastAsia="ru-RU"/>
        </w:rPr>
      </w:pPr>
      <w:r w:rsidRPr="00387B5C">
        <w:rPr>
          <w:rFonts w:ascii="Helvetica" w:eastAsia="Times New Roman" w:hAnsi="Helvetica" w:cs="Helvetica"/>
          <w:color w:val="443C3C"/>
          <w:sz w:val="23"/>
          <w:szCs w:val="23"/>
          <w:lang w:eastAsia="ru-RU"/>
        </w:rPr>
        <w:t>В соответствии со статьей 3.1 Федерального закона от 22.04.1996 № 39-ФЗ «О рынке ценных бумаг» (с учетом положений федеральных законов от 31.07.2020 № 306-ФЗ, от 11.06.2021 № 192-ФЗ) Банк проводит тестирование клиентов – физических лиц, не являющихся квалифицированными инвесторами, в отношении следующих видов сделок (договоров):</w:t>
      </w:r>
    </w:p>
    <w:p w:rsidR="00387B5C" w:rsidRPr="00387B5C" w:rsidRDefault="00387B5C" w:rsidP="00387B5C">
      <w:pPr>
        <w:numPr>
          <w:ilvl w:val="0"/>
          <w:numId w:val="1"/>
        </w:numPr>
        <w:shd w:val="clear" w:color="auto" w:fill="FFFFFF"/>
        <w:spacing w:before="100" w:beforeAutospacing="1" w:after="228" w:line="240" w:lineRule="auto"/>
        <w:ind w:left="0"/>
        <w:rPr>
          <w:rFonts w:ascii="Helvetica" w:eastAsia="Times New Roman" w:hAnsi="Helvetica" w:cs="Helvetica"/>
          <w:color w:val="443C3C"/>
          <w:sz w:val="23"/>
          <w:szCs w:val="23"/>
          <w:lang w:eastAsia="ru-RU"/>
        </w:rPr>
      </w:pPr>
      <w:r w:rsidRPr="00387B5C">
        <w:rPr>
          <w:rFonts w:ascii="Helvetica" w:eastAsia="Times New Roman" w:hAnsi="Helvetica" w:cs="Helvetica"/>
          <w:color w:val="443C3C"/>
          <w:sz w:val="23"/>
          <w:szCs w:val="23"/>
          <w:lang w:eastAsia="ru-RU"/>
        </w:rPr>
        <w:t>необеспеченные сделки;</w:t>
      </w:r>
    </w:p>
    <w:p w:rsidR="00387B5C" w:rsidRPr="00387B5C" w:rsidRDefault="00387B5C" w:rsidP="00387B5C">
      <w:pPr>
        <w:numPr>
          <w:ilvl w:val="0"/>
          <w:numId w:val="1"/>
        </w:numPr>
        <w:shd w:val="clear" w:color="auto" w:fill="FFFFFF"/>
        <w:spacing w:before="100" w:beforeAutospacing="1" w:after="228" w:line="240" w:lineRule="auto"/>
        <w:ind w:left="0"/>
        <w:rPr>
          <w:rFonts w:ascii="Helvetica" w:eastAsia="Times New Roman" w:hAnsi="Helvetica" w:cs="Helvetica"/>
          <w:color w:val="443C3C"/>
          <w:sz w:val="23"/>
          <w:szCs w:val="23"/>
          <w:lang w:eastAsia="ru-RU"/>
        </w:rPr>
      </w:pPr>
      <w:r w:rsidRPr="00387B5C">
        <w:rPr>
          <w:rFonts w:ascii="Helvetica" w:eastAsia="Times New Roman" w:hAnsi="Helvetica" w:cs="Helvetica"/>
          <w:color w:val="443C3C"/>
          <w:sz w:val="23"/>
          <w:szCs w:val="23"/>
          <w:lang w:eastAsia="ru-RU"/>
        </w:rPr>
        <w:t>договоры, являющиеся производными финансовыми инструментами и не предназначенные для квалифицированных инвесторов;</w:t>
      </w:r>
    </w:p>
    <w:p w:rsidR="00387B5C" w:rsidRPr="00387B5C" w:rsidRDefault="00387B5C" w:rsidP="00387B5C">
      <w:pPr>
        <w:numPr>
          <w:ilvl w:val="0"/>
          <w:numId w:val="1"/>
        </w:numPr>
        <w:shd w:val="clear" w:color="auto" w:fill="FFFFFF"/>
        <w:spacing w:before="100" w:beforeAutospacing="1" w:after="228" w:line="240" w:lineRule="auto"/>
        <w:ind w:left="0"/>
        <w:rPr>
          <w:rFonts w:ascii="Helvetica" w:eastAsia="Times New Roman" w:hAnsi="Helvetica" w:cs="Helvetica"/>
          <w:color w:val="443C3C"/>
          <w:sz w:val="23"/>
          <w:szCs w:val="23"/>
          <w:lang w:eastAsia="ru-RU"/>
        </w:rPr>
      </w:pPr>
      <w:r w:rsidRPr="00387B5C">
        <w:rPr>
          <w:rFonts w:ascii="Helvetica" w:eastAsia="Times New Roman" w:hAnsi="Helvetica" w:cs="Helvetica"/>
          <w:color w:val="443C3C"/>
          <w:sz w:val="23"/>
          <w:szCs w:val="23"/>
          <w:lang w:eastAsia="ru-RU"/>
        </w:rPr>
        <w:t xml:space="preserve">сделки по приобретению </w:t>
      </w:r>
      <w:proofErr w:type="gramStart"/>
      <w:r w:rsidRPr="00387B5C">
        <w:rPr>
          <w:rFonts w:ascii="Helvetica" w:eastAsia="Times New Roman" w:hAnsi="Helvetica" w:cs="Helvetica"/>
          <w:color w:val="443C3C"/>
          <w:sz w:val="23"/>
          <w:szCs w:val="23"/>
          <w:lang w:eastAsia="ru-RU"/>
        </w:rPr>
        <w:t>инвестиционных паев</w:t>
      </w:r>
      <w:proofErr w:type="gramEnd"/>
      <w:r w:rsidRPr="00387B5C">
        <w:rPr>
          <w:rFonts w:ascii="Helvetica" w:eastAsia="Times New Roman" w:hAnsi="Helvetica" w:cs="Helvetica"/>
          <w:color w:val="443C3C"/>
          <w:sz w:val="23"/>
          <w:szCs w:val="23"/>
          <w:lang w:eastAsia="ru-RU"/>
        </w:rPr>
        <w:t xml:space="preserve"> закрытых паевых инвестиционных фондов, не предназначенных для квалифицированных инвесторов, требующих проведения тестирования;</w:t>
      </w:r>
    </w:p>
    <w:p w:rsidR="00387B5C" w:rsidRPr="00387B5C" w:rsidRDefault="00387B5C" w:rsidP="00387B5C">
      <w:pPr>
        <w:numPr>
          <w:ilvl w:val="0"/>
          <w:numId w:val="1"/>
        </w:numPr>
        <w:shd w:val="clear" w:color="auto" w:fill="FFFFFF"/>
        <w:spacing w:before="100" w:beforeAutospacing="1" w:after="228" w:line="240" w:lineRule="auto"/>
        <w:ind w:left="0"/>
        <w:rPr>
          <w:rFonts w:ascii="Helvetica" w:eastAsia="Times New Roman" w:hAnsi="Helvetica" w:cs="Helvetica"/>
          <w:color w:val="443C3C"/>
          <w:sz w:val="23"/>
          <w:szCs w:val="23"/>
          <w:lang w:eastAsia="ru-RU"/>
        </w:rPr>
      </w:pPr>
      <w:r w:rsidRPr="00387B5C">
        <w:rPr>
          <w:rFonts w:ascii="Helvetica" w:eastAsia="Times New Roman" w:hAnsi="Helvetica" w:cs="Helvetica"/>
          <w:color w:val="443C3C"/>
          <w:sz w:val="23"/>
          <w:szCs w:val="23"/>
          <w:lang w:eastAsia="ru-RU"/>
        </w:rPr>
        <w:t>сделки по приобретению облигаций российских эмитентов, которым (эмитенту которых, лицу, предоставившему обеспечение по которым) не присвоен кредитный рейтинг либо кредитный рейтинг которых (эмитента которых, лица, предоставившего обеспечение по которым) ниже уровня, установленного Советом директоров Банка России;</w:t>
      </w:r>
    </w:p>
    <w:p w:rsidR="00387B5C" w:rsidRPr="00387B5C" w:rsidRDefault="00387B5C" w:rsidP="00387B5C">
      <w:pPr>
        <w:numPr>
          <w:ilvl w:val="0"/>
          <w:numId w:val="1"/>
        </w:numPr>
        <w:shd w:val="clear" w:color="auto" w:fill="FFFFFF"/>
        <w:spacing w:before="100" w:beforeAutospacing="1" w:after="228" w:line="240" w:lineRule="auto"/>
        <w:ind w:left="0"/>
        <w:rPr>
          <w:rFonts w:ascii="Helvetica" w:eastAsia="Times New Roman" w:hAnsi="Helvetica" w:cs="Helvetica"/>
          <w:color w:val="443C3C"/>
          <w:sz w:val="23"/>
          <w:szCs w:val="23"/>
          <w:lang w:eastAsia="ru-RU"/>
        </w:rPr>
      </w:pPr>
      <w:r w:rsidRPr="00387B5C">
        <w:rPr>
          <w:rFonts w:ascii="Helvetica" w:eastAsia="Times New Roman" w:hAnsi="Helvetica" w:cs="Helvetica"/>
          <w:color w:val="443C3C"/>
          <w:sz w:val="23"/>
          <w:szCs w:val="23"/>
          <w:lang w:eastAsia="ru-RU"/>
        </w:rPr>
        <w:t>сделки по приобретению облигаций иностранных эмитентов, исполнение обязательств по которым обеспечивается или осуществляется за счет юридического лица, созданного в соответствии с законодательством Российской Федерации, не имеющего кредитный рейтинг или кредитный рейтинг которого ниже уровня, установленного Советом директоров Банка России;</w:t>
      </w:r>
    </w:p>
    <w:p w:rsidR="00387B5C" w:rsidRPr="00387B5C" w:rsidRDefault="00387B5C" w:rsidP="00387B5C">
      <w:pPr>
        <w:numPr>
          <w:ilvl w:val="0"/>
          <w:numId w:val="1"/>
        </w:numPr>
        <w:shd w:val="clear" w:color="auto" w:fill="FFFFFF"/>
        <w:spacing w:before="100" w:beforeAutospacing="1" w:after="228" w:line="240" w:lineRule="auto"/>
        <w:ind w:left="0"/>
        <w:rPr>
          <w:rFonts w:ascii="Helvetica" w:eastAsia="Times New Roman" w:hAnsi="Helvetica" w:cs="Helvetica"/>
          <w:color w:val="443C3C"/>
          <w:sz w:val="23"/>
          <w:szCs w:val="23"/>
          <w:lang w:eastAsia="ru-RU"/>
        </w:rPr>
      </w:pPr>
      <w:r w:rsidRPr="00387B5C">
        <w:rPr>
          <w:rFonts w:ascii="Helvetica" w:eastAsia="Times New Roman" w:hAnsi="Helvetica" w:cs="Helvetica"/>
          <w:color w:val="443C3C"/>
          <w:sz w:val="23"/>
          <w:szCs w:val="23"/>
          <w:lang w:eastAsia="ru-RU"/>
        </w:rPr>
        <w:t>сделки по приобретению облигаций со структурным доходом;</w:t>
      </w:r>
    </w:p>
    <w:p w:rsidR="00387B5C" w:rsidRPr="00387B5C" w:rsidRDefault="00387B5C" w:rsidP="00387B5C">
      <w:pPr>
        <w:numPr>
          <w:ilvl w:val="0"/>
          <w:numId w:val="1"/>
        </w:numPr>
        <w:shd w:val="clear" w:color="auto" w:fill="FFFFFF"/>
        <w:spacing w:before="100" w:beforeAutospacing="1" w:after="228" w:line="240" w:lineRule="auto"/>
        <w:ind w:left="0"/>
        <w:rPr>
          <w:rFonts w:ascii="Helvetica" w:eastAsia="Times New Roman" w:hAnsi="Helvetica" w:cs="Helvetica"/>
          <w:color w:val="443C3C"/>
          <w:sz w:val="23"/>
          <w:szCs w:val="23"/>
          <w:lang w:eastAsia="ru-RU"/>
        </w:rPr>
      </w:pPr>
      <w:r w:rsidRPr="00387B5C">
        <w:rPr>
          <w:rFonts w:ascii="Helvetica" w:eastAsia="Times New Roman" w:hAnsi="Helvetica" w:cs="Helvetica"/>
          <w:color w:val="443C3C"/>
          <w:sz w:val="23"/>
          <w:szCs w:val="23"/>
          <w:lang w:eastAsia="ru-RU"/>
        </w:rPr>
        <w:t>сделки по приобретению акций, не включенных в котировальные списки;</w:t>
      </w:r>
    </w:p>
    <w:p w:rsidR="00387B5C" w:rsidRPr="00387B5C" w:rsidRDefault="00387B5C" w:rsidP="00387B5C">
      <w:pPr>
        <w:numPr>
          <w:ilvl w:val="0"/>
          <w:numId w:val="1"/>
        </w:numPr>
        <w:shd w:val="clear" w:color="auto" w:fill="FFFFFF"/>
        <w:spacing w:before="100" w:beforeAutospacing="1" w:after="228" w:line="240" w:lineRule="auto"/>
        <w:ind w:left="0"/>
        <w:rPr>
          <w:rFonts w:ascii="Helvetica" w:eastAsia="Times New Roman" w:hAnsi="Helvetica" w:cs="Helvetica"/>
          <w:color w:val="443C3C"/>
          <w:sz w:val="23"/>
          <w:szCs w:val="23"/>
          <w:lang w:eastAsia="ru-RU"/>
        </w:rPr>
      </w:pPr>
      <w:r w:rsidRPr="00387B5C">
        <w:rPr>
          <w:rFonts w:ascii="Helvetica" w:eastAsia="Times New Roman" w:hAnsi="Helvetica" w:cs="Helvetica"/>
          <w:color w:val="443C3C"/>
          <w:sz w:val="23"/>
          <w:szCs w:val="23"/>
          <w:lang w:eastAsia="ru-RU"/>
        </w:rPr>
        <w:t>сделки по приобретению иностранных акций, требующие проведения тестирования;</w:t>
      </w:r>
    </w:p>
    <w:p w:rsidR="00387B5C" w:rsidRPr="00387B5C" w:rsidRDefault="00387B5C" w:rsidP="0007333B">
      <w:pPr>
        <w:numPr>
          <w:ilvl w:val="0"/>
          <w:numId w:val="1"/>
        </w:numPr>
        <w:shd w:val="clear" w:color="auto" w:fill="FFFFFF"/>
        <w:spacing w:before="100" w:beforeAutospacing="1" w:after="228" w:line="240" w:lineRule="auto"/>
        <w:ind w:left="0" w:hanging="357"/>
        <w:rPr>
          <w:rFonts w:ascii="Helvetica" w:eastAsia="Times New Roman" w:hAnsi="Helvetica" w:cs="Helvetica"/>
          <w:color w:val="443C3C"/>
          <w:sz w:val="23"/>
          <w:szCs w:val="23"/>
          <w:lang w:eastAsia="ru-RU"/>
        </w:rPr>
      </w:pPr>
      <w:r w:rsidRPr="00387B5C">
        <w:rPr>
          <w:rFonts w:ascii="Helvetica" w:eastAsia="Times New Roman" w:hAnsi="Helvetica" w:cs="Helvetica"/>
          <w:color w:val="443C3C"/>
          <w:sz w:val="23"/>
          <w:szCs w:val="23"/>
          <w:lang w:eastAsia="ru-RU"/>
        </w:rPr>
        <w:t>сделки по приобретению паев иностранных ETF, требующих проведения тестирования (начало тестирования в отношении данных сделок - 1 апреля 2022 года).</w:t>
      </w:r>
    </w:p>
    <w:p w:rsidR="0007333B" w:rsidRPr="0007333B" w:rsidRDefault="0007333B" w:rsidP="0007333B">
      <w:pPr>
        <w:shd w:val="clear" w:color="auto" w:fill="FFFFFF"/>
        <w:spacing w:before="100" w:beforeAutospacing="1" w:after="100" w:afterAutospacing="1" w:line="240" w:lineRule="auto"/>
        <w:outlineLvl w:val="0"/>
        <w:rPr>
          <w:rFonts w:ascii="Helvetica" w:eastAsia="Times New Roman" w:hAnsi="Helvetica" w:cs="Helvetica"/>
          <w:color w:val="443C3C"/>
          <w:kern w:val="36"/>
          <w:sz w:val="40"/>
          <w:szCs w:val="40"/>
          <w:lang w:eastAsia="ru-RU"/>
        </w:rPr>
      </w:pPr>
      <w:r w:rsidRPr="0007333B">
        <w:rPr>
          <w:rFonts w:ascii="Helvetica" w:eastAsia="Times New Roman" w:hAnsi="Helvetica" w:cs="Helvetica"/>
          <w:color w:val="443C3C"/>
          <w:kern w:val="36"/>
          <w:sz w:val="40"/>
          <w:szCs w:val="40"/>
          <w:lang w:eastAsia="ru-RU"/>
        </w:rPr>
        <w:t>Как выглядит тест</w:t>
      </w:r>
    </w:p>
    <w:p w:rsidR="0007333B" w:rsidRDefault="0007333B" w:rsidP="0007333B">
      <w:pPr>
        <w:shd w:val="clear" w:color="auto" w:fill="FFFFFF"/>
        <w:spacing w:before="100" w:beforeAutospacing="1" w:after="228" w:line="240" w:lineRule="auto"/>
        <w:jc w:val="both"/>
        <w:rPr>
          <w:rFonts w:ascii="Helvetica" w:eastAsia="Times New Roman" w:hAnsi="Helvetica" w:cs="Helvetica"/>
          <w:color w:val="443C3C"/>
          <w:sz w:val="23"/>
          <w:szCs w:val="23"/>
          <w:lang w:eastAsia="ru-RU"/>
        </w:rPr>
      </w:pPr>
      <w:r w:rsidRPr="0007333B">
        <w:rPr>
          <w:rFonts w:ascii="Helvetica" w:eastAsia="Times New Roman" w:hAnsi="Helvetica" w:cs="Helvetica"/>
          <w:color w:val="443C3C"/>
          <w:sz w:val="23"/>
          <w:szCs w:val="23"/>
          <w:lang w:eastAsia="ru-RU"/>
        </w:rPr>
        <w:t>Для каждого из инструментов, перечисленных выше, нужно сдавать отдельный тест — один раз для сделок каждого типа. </w:t>
      </w:r>
    </w:p>
    <w:p w:rsidR="0007333B" w:rsidRPr="0007333B" w:rsidRDefault="0007333B" w:rsidP="0007333B">
      <w:pPr>
        <w:shd w:val="clear" w:color="auto" w:fill="FFFFFF"/>
        <w:spacing w:before="100" w:beforeAutospacing="1" w:after="228" w:line="240" w:lineRule="auto"/>
        <w:jc w:val="both"/>
        <w:rPr>
          <w:rFonts w:ascii="Helvetica" w:eastAsia="Times New Roman" w:hAnsi="Helvetica" w:cs="Helvetica"/>
          <w:color w:val="443C3C"/>
          <w:sz w:val="23"/>
          <w:szCs w:val="23"/>
          <w:lang w:eastAsia="ru-RU"/>
        </w:rPr>
      </w:pPr>
      <w:r w:rsidRPr="0007333B">
        <w:rPr>
          <w:rFonts w:ascii="Helvetica" w:eastAsia="Times New Roman" w:hAnsi="Helvetica" w:cs="Helvetica"/>
          <w:color w:val="443C3C"/>
          <w:sz w:val="23"/>
          <w:szCs w:val="23"/>
          <w:lang w:eastAsia="ru-RU"/>
        </w:rPr>
        <w:t>Тест разделен на два блока: «Самооценка» и «Знания». В блоке про самооценку зададут общие вопросы: есть ли у вас знания о финансовом инструменте, совершали ли вы раньше сделки с этим инструментом и как долго, сколько сделок заключили. Ответы в этом блоке не влияют на доступ к инструменту.</w:t>
      </w:r>
    </w:p>
    <w:p w:rsidR="0007333B" w:rsidRPr="0007333B" w:rsidRDefault="0007333B" w:rsidP="0007333B">
      <w:pPr>
        <w:shd w:val="clear" w:color="auto" w:fill="FFFFFF"/>
        <w:spacing w:after="0" w:line="240" w:lineRule="auto"/>
        <w:jc w:val="both"/>
        <w:textAlignment w:val="baseline"/>
        <w:rPr>
          <w:rFonts w:ascii="Helvetica" w:eastAsia="Times New Roman" w:hAnsi="Helvetica" w:cs="Helvetica"/>
          <w:color w:val="443C3C"/>
          <w:sz w:val="23"/>
          <w:szCs w:val="23"/>
          <w:lang w:eastAsia="ru-RU"/>
        </w:rPr>
      </w:pPr>
      <w:r w:rsidRPr="0007333B">
        <w:rPr>
          <w:rFonts w:ascii="Helvetica" w:eastAsia="Times New Roman" w:hAnsi="Helvetica" w:cs="Helvetica"/>
          <w:color w:val="443C3C"/>
          <w:sz w:val="23"/>
          <w:szCs w:val="23"/>
          <w:lang w:eastAsia="ru-RU"/>
        </w:rPr>
        <w:t>В блоке «Знания» зададут вопросы про сам финансовый инструмент и принцип его работы. У каждого вопроса в тесте четыре варианта ответа. Чтобы пройти тест, нужно правильно ответить на все четыре вопроса из блока «Знания». Если инвестор не сдал тест, он может его тут же пересдать — количество попыток неограниченно.</w:t>
      </w:r>
    </w:p>
    <w:p w:rsidR="0007333B" w:rsidRPr="00C70554" w:rsidRDefault="0007333B" w:rsidP="0007333B">
      <w:pPr>
        <w:shd w:val="clear" w:color="auto" w:fill="FFFFFF"/>
        <w:spacing w:after="0" w:line="450" w:lineRule="atLeast"/>
        <w:jc w:val="both"/>
        <w:textAlignment w:val="baseline"/>
        <w:outlineLvl w:val="1"/>
        <w:rPr>
          <w:rFonts w:ascii="Helvetica" w:eastAsia="Times New Roman" w:hAnsi="Helvetica" w:cs="Helvetica"/>
          <w:color w:val="443C3C"/>
          <w:sz w:val="23"/>
          <w:szCs w:val="23"/>
          <w:u w:val="single"/>
          <w:lang w:eastAsia="ru-RU"/>
        </w:rPr>
      </w:pPr>
      <w:r w:rsidRPr="00C70554">
        <w:rPr>
          <w:rFonts w:ascii="Helvetica" w:eastAsia="Times New Roman" w:hAnsi="Helvetica" w:cs="Helvetica"/>
          <w:color w:val="443C3C"/>
          <w:sz w:val="23"/>
          <w:szCs w:val="23"/>
          <w:u w:val="single"/>
          <w:lang w:eastAsia="ru-RU"/>
        </w:rPr>
        <w:t>Можно ли обойтись без теста:</w:t>
      </w:r>
    </w:p>
    <w:p w:rsidR="0007333B" w:rsidRPr="0007333B" w:rsidRDefault="0007333B" w:rsidP="0007333B">
      <w:pPr>
        <w:shd w:val="clear" w:color="auto" w:fill="FFFFFF"/>
        <w:spacing w:after="0" w:line="240" w:lineRule="auto"/>
        <w:jc w:val="both"/>
        <w:textAlignment w:val="baseline"/>
        <w:rPr>
          <w:rFonts w:ascii="Helvetica" w:eastAsia="Times New Roman" w:hAnsi="Helvetica" w:cs="Helvetica"/>
          <w:color w:val="443C3C"/>
          <w:sz w:val="23"/>
          <w:szCs w:val="23"/>
          <w:lang w:eastAsia="ru-RU"/>
        </w:rPr>
      </w:pPr>
      <w:r w:rsidRPr="0007333B">
        <w:rPr>
          <w:rFonts w:ascii="Helvetica" w:eastAsia="Times New Roman" w:hAnsi="Helvetica" w:cs="Helvetica"/>
          <w:color w:val="443C3C"/>
          <w:sz w:val="23"/>
          <w:szCs w:val="23"/>
          <w:lang w:eastAsia="ru-RU"/>
        </w:rPr>
        <w:lastRenderedPageBreak/>
        <w:t>Если до 1 января 2020 года инвестор уже совершал сделки с конкретными финансовыми инструментами, проходить тестирование по ним ему не придется. </w:t>
      </w:r>
      <w:r>
        <w:rPr>
          <w:rFonts w:ascii="Helvetica" w:eastAsia="Times New Roman" w:hAnsi="Helvetica" w:cs="Helvetica"/>
          <w:color w:val="443C3C"/>
          <w:sz w:val="23"/>
          <w:szCs w:val="23"/>
          <w:lang w:eastAsia="ru-RU"/>
        </w:rPr>
        <w:t>Р</w:t>
      </w:r>
      <w:r w:rsidRPr="0007333B">
        <w:rPr>
          <w:rFonts w:ascii="Helvetica" w:eastAsia="Times New Roman" w:hAnsi="Helvetica" w:cs="Helvetica"/>
          <w:color w:val="443C3C"/>
          <w:sz w:val="23"/>
          <w:szCs w:val="23"/>
          <w:lang w:eastAsia="ru-RU"/>
        </w:rPr>
        <w:t>ечь идет о конкретных ценных бумагах </w:t>
      </w:r>
      <w:r w:rsidR="00C70554">
        <w:rPr>
          <w:rFonts w:eastAsia="Times New Roman" w:cs="Helvetica"/>
          <w:color w:val="443C3C"/>
          <w:sz w:val="23"/>
          <w:szCs w:val="23"/>
          <w:lang w:eastAsia="ru-RU"/>
        </w:rPr>
        <w:t xml:space="preserve">- </w:t>
      </w:r>
      <w:bookmarkStart w:id="0" w:name="_GoBack"/>
      <w:bookmarkEnd w:id="0"/>
      <w:r w:rsidRPr="0007333B">
        <w:rPr>
          <w:rFonts w:ascii="Helvetica" w:eastAsia="Times New Roman" w:hAnsi="Helvetica" w:cs="Helvetica"/>
          <w:color w:val="443C3C"/>
          <w:sz w:val="23"/>
          <w:szCs w:val="23"/>
          <w:lang w:eastAsia="ru-RU"/>
        </w:rPr>
        <w:t>у бумаг, купленных до 1 января 2020, должен быть тот же</w:t>
      </w:r>
      <w:r>
        <w:rPr>
          <w:rFonts w:ascii="Helvetica" w:eastAsia="Times New Roman" w:hAnsi="Helvetica" w:cs="Helvetica"/>
          <w:color w:val="443C3C"/>
          <w:sz w:val="23"/>
          <w:szCs w:val="23"/>
          <w:lang w:eastAsia="ru-RU"/>
        </w:rPr>
        <w:t xml:space="preserve"> </w:t>
      </w:r>
      <w:r w:rsidRPr="0007333B">
        <w:rPr>
          <w:rFonts w:ascii="Helvetica" w:eastAsia="Times New Roman" w:hAnsi="Helvetica" w:cs="Helvetica"/>
          <w:color w:val="443C3C"/>
          <w:sz w:val="23"/>
          <w:szCs w:val="23"/>
          <w:lang w:eastAsia="ru-RU"/>
        </w:rPr>
        <w:t>ISIN.</w:t>
      </w:r>
    </w:p>
    <w:p w:rsidR="0007333B" w:rsidRPr="0007333B" w:rsidRDefault="0007333B" w:rsidP="0007333B">
      <w:pPr>
        <w:shd w:val="clear" w:color="auto" w:fill="FFFFFF"/>
        <w:spacing w:after="300" w:line="240" w:lineRule="auto"/>
        <w:jc w:val="both"/>
        <w:textAlignment w:val="baseline"/>
        <w:rPr>
          <w:rFonts w:ascii="Helvetica" w:eastAsia="Times New Roman" w:hAnsi="Helvetica" w:cs="Helvetica"/>
          <w:color w:val="443C3C"/>
          <w:sz w:val="23"/>
          <w:szCs w:val="23"/>
          <w:lang w:eastAsia="ru-RU"/>
        </w:rPr>
      </w:pPr>
      <w:r w:rsidRPr="0007333B">
        <w:rPr>
          <w:rFonts w:ascii="Helvetica" w:eastAsia="Times New Roman" w:hAnsi="Helvetica" w:cs="Helvetica"/>
          <w:color w:val="443C3C"/>
          <w:sz w:val="23"/>
          <w:szCs w:val="23"/>
          <w:lang w:eastAsia="ru-RU"/>
        </w:rPr>
        <w:t>Если у вас есть статус квалифицированного инвестора, тест не нужен: таким инвесторам доступны все инструменты.</w:t>
      </w:r>
    </w:p>
    <w:p w:rsidR="00F13403" w:rsidRPr="0007333B" w:rsidRDefault="00F13403">
      <w:pPr>
        <w:rPr>
          <w:rFonts w:ascii="Helvetica" w:eastAsia="Times New Roman" w:hAnsi="Helvetica" w:cs="Helvetica"/>
          <w:color w:val="443C3C"/>
          <w:sz w:val="23"/>
          <w:szCs w:val="23"/>
          <w:lang w:eastAsia="ru-RU"/>
        </w:rPr>
      </w:pPr>
    </w:p>
    <w:sectPr w:rsidR="00F13403" w:rsidRPr="0007333B" w:rsidSect="00387B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B0EFB"/>
    <w:multiLevelType w:val="multilevel"/>
    <w:tmpl w:val="A8BC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5C"/>
    <w:rsid w:val="0007333B"/>
    <w:rsid w:val="00387B5C"/>
    <w:rsid w:val="008E5EDC"/>
    <w:rsid w:val="00C70554"/>
    <w:rsid w:val="00F1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EF8E1-2685-42F0-8D82-9D8A47F7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E5E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EDC"/>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073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6592">
      <w:bodyDiv w:val="1"/>
      <w:marLeft w:val="0"/>
      <w:marRight w:val="0"/>
      <w:marTop w:val="0"/>
      <w:marBottom w:val="0"/>
      <w:divBdr>
        <w:top w:val="none" w:sz="0" w:space="0" w:color="auto"/>
        <w:left w:val="none" w:sz="0" w:space="0" w:color="auto"/>
        <w:bottom w:val="none" w:sz="0" w:space="0" w:color="auto"/>
        <w:right w:val="none" w:sz="0" w:space="0" w:color="auto"/>
      </w:divBdr>
      <w:divsChild>
        <w:div w:id="1576210441">
          <w:marLeft w:val="0"/>
          <w:marRight w:val="0"/>
          <w:marTop w:val="0"/>
          <w:marBottom w:val="0"/>
          <w:divBdr>
            <w:top w:val="none" w:sz="0" w:space="0" w:color="auto"/>
            <w:left w:val="none" w:sz="0" w:space="0" w:color="auto"/>
            <w:bottom w:val="none" w:sz="0" w:space="0" w:color="auto"/>
            <w:right w:val="none" w:sz="0" w:space="0" w:color="auto"/>
          </w:divBdr>
        </w:div>
      </w:divsChild>
    </w:div>
    <w:div w:id="1881934205">
      <w:bodyDiv w:val="1"/>
      <w:marLeft w:val="0"/>
      <w:marRight w:val="0"/>
      <w:marTop w:val="0"/>
      <w:marBottom w:val="0"/>
      <w:divBdr>
        <w:top w:val="none" w:sz="0" w:space="0" w:color="auto"/>
        <w:left w:val="none" w:sz="0" w:space="0" w:color="auto"/>
        <w:bottom w:val="none" w:sz="0" w:space="0" w:color="auto"/>
        <w:right w:val="none" w:sz="0" w:space="0" w:color="auto"/>
      </w:divBdr>
      <w:divsChild>
        <w:div w:id="485050803">
          <w:marLeft w:val="0"/>
          <w:marRight w:val="0"/>
          <w:marTop w:val="0"/>
          <w:marBottom w:val="0"/>
          <w:divBdr>
            <w:top w:val="none" w:sz="0" w:space="0" w:color="auto"/>
            <w:left w:val="none" w:sz="0" w:space="0" w:color="auto"/>
            <w:bottom w:val="none" w:sz="0" w:space="0" w:color="auto"/>
            <w:right w:val="none" w:sz="0" w:space="0" w:color="auto"/>
          </w:divBdr>
          <w:divsChild>
            <w:div w:id="1276064419">
              <w:marLeft w:val="0"/>
              <w:marRight w:val="0"/>
              <w:marTop w:val="0"/>
              <w:marBottom w:val="0"/>
              <w:divBdr>
                <w:top w:val="none" w:sz="0" w:space="0" w:color="auto"/>
                <w:left w:val="none" w:sz="0" w:space="0" w:color="auto"/>
                <w:bottom w:val="none" w:sz="0" w:space="0" w:color="auto"/>
                <w:right w:val="none" w:sz="0" w:space="0" w:color="auto"/>
              </w:divBdr>
              <w:divsChild>
                <w:div w:id="94793224">
                  <w:marLeft w:val="0"/>
                  <w:marRight w:val="0"/>
                  <w:marTop w:val="0"/>
                  <w:marBottom w:val="0"/>
                  <w:divBdr>
                    <w:top w:val="none" w:sz="0" w:space="0" w:color="auto"/>
                    <w:left w:val="none" w:sz="0" w:space="0" w:color="auto"/>
                    <w:bottom w:val="none" w:sz="0" w:space="0" w:color="auto"/>
                    <w:right w:val="none" w:sz="0" w:space="0" w:color="auto"/>
                  </w:divBdr>
                  <w:divsChild>
                    <w:div w:id="1958557817">
                      <w:marLeft w:val="0"/>
                      <w:marRight w:val="0"/>
                      <w:marTop w:val="0"/>
                      <w:marBottom w:val="0"/>
                      <w:divBdr>
                        <w:top w:val="none" w:sz="0" w:space="0" w:color="auto"/>
                        <w:left w:val="none" w:sz="0" w:space="0" w:color="auto"/>
                        <w:bottom w:val="none" w:sz="0" w:space="0" w:color="auto"/>
                        <w:right w:val="none" w:sz="0" w:space="0" w:color="auto"/>
                      </w:divBdr>
                      <w:divsChild>
                        <w:div w:id="56247634">
                          <w:marLeft w:val="0"/>
                          <w:marRight w:val="0"/>
                          <w:marTop w:val="0"/>
                          <w:marBottom w:val="0"/>
                          <w:divBdr>
                            <w:top w:val="none" w:sz="0" w:space="0" w:color="auto"/>
                            <w:left w:val="none" w:sz="0" w:space="0" w:color="auto"/>
                            <w:bottom w:val="none" w:sz="0" w:space="0" w:color="auto"/>
                            <w:right w:val="none" w:sz="0" w:space="0" w:color="auto"/>
                          </w:divBdr>
                          <w:divsChild>
                            <w:div w:id="274603627">
                              <w:marLeft w:val="0"/>
                              <w:marRight w:val="0"/>
                              <w:marTop w:val="0"/>
                              <w:marBottom w:val="0"/>
                              <w:divBdr>
                                <w:top w:val="none" w:sz="0" w:space="0" w:color="auto"/>
                                <w:left w:val="none" w:sz="0" w:space="0" w:color="auto"/>
                                <w:bottom w:val="none" w:sz="0" w:space="0" w:color="auto"/>
                                <w:right w:val="none" w:sz="0" w:space="0" w:color="auto"/>
                              </w:divBdr>
                              <w:divsChild>
                                <w:div w:id="557668529">
                                  <w:marLeft w:val="0"/>
                                  <w:marRight w:val="0"/>
                                  <w:marTop w:val="0"/>
                                  <w:marBottom w:val="0"/>
                                  <w:divBdr>
                                    <w:top w:val="none" w:sz="0" w:space="0" w:color="auto"/>
                                    <w:left w:val="none" w:sz="0" w:space="0" w:color="auto"/>
                                    <w:bottom w:val="none" w:sz="0" w:space="0" w:color="auto"/>
                                    <w:right w:val="none" w:sz="0" w:space="0" w:color="auto"/>
                                  </w:divBdr>
                                </w:div>
                                <w:div w:id="6627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demov</dc:creator>
  <cp:keywords/>
  <dc:description/>
  <cp:lastModifiedBy>demov</cp:lastModifiedBy>
  <cp:revision>4</cp:revision>
  <dcterms:created xsi:type="dcterms:W3CDTF">2021-09-23T11:47:00Z</dcterms:created>
  <dcterms:modified xsi:type="dcterms:W3CDTF">2021-09-30T08:58:00Z</dcterms:modified>
</cp:coreProperties>
</file>