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B8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453E33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27301" w:rsidRPr="00327301" w:rsidRDefault="008E3C46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26D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724427" w:rsidRPr="00EF5DF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724427" w:rsidRPr="00EF5DF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EF5DFD" w:rsidRPr="00EF5DFD" w:rsidRDefault="00C06335" w:rsidP="008700C6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741CEF">
        <w:rPr>
          <w:rFonts w:ascii="Times New Roman" w:hAnsi="Times New Roman" w:cs="Times New Roman"/>
          <w:b/>
          <w:color w:val="333333"/>
          <w:sz w:val="48"/>
          <w:szCs w:val="48"/>
        </w:rPr>
        <w:t>Депозитарий АО Банк «Развитие-Столица»</w:t>
      </w:r>
      <w:r w:rsidRPr="00741CEF">
        <w:rPr>
          <w:rFonts w:ascii="Times New Roman" w:hAnsi="Times New Roman" w:cs="Times New Roman"/>
          <w:color w:val="333333"/>
          <w:sz w:val="48"/>
          <w:szCs w:val="48"/>
        </w:rPr>
        <w:t xml:space="preserve"> </w:t>
      </w:r>
      <w:r w:rsidRPr="00741CEF">
        <w:rPr>
          <w:rFonts w:ascii="Times New Roman" w:hAnsi="Times New Roman" w:cs="Times New Roman"/>
          <w:b/>
          <w:color w:val="333333"/>
          <w:sz w:val="48"/>
          <w:szCs w:val="48"/>
        </w:rPr>
        <w:t xml:space="preserve">уведомляет Вас о </w:t>
      </w:r>
      <w:r w:rsidR="00EF5DFD" w:rsidRPr="00EF5DFD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(MEET) </w:t>
      </w:r>
      <w:bookmarkStart w:id="0" w:name="_GoBack"/>
      <w:bookmarkEnd w:id="0"/>
      <w:r w:rsidR="00EF5DFD" w:rsidRPr="00EF5DFD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 прошедшем корпоративном действии "Годовое общее собрание акционеров" с ценными бумагами эмитента ПАО "ГАЗ" ИНН 5200000046 (акция 1-01-00029-A / ISIN RU0009034268)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EF5DFD" w:rsidRPr="00EF5DFD" w:rsidTr="00EF5DF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598639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июня 2021 г. 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2021 г.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EF5DFD" w:rsidRPr="00EF5DFD" w:rsidRDefault="00EF5DFD" w:rsidP="00EF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EF5DFD" w:rsidRPr="00EF5DFD" w:rsidTr="00EF5DF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F5DFD" w:rsidRPr="00EF5DFD" w:rsidTr="00EF5DF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598639X5230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"МРЦ"</w:t>
            </w:r>
          </w:p>
        </w:tc>
      </w:tr>
    </w:tbl>
    <w:p w:rsidR="00EF5DFD" w:rsidRPr="00EF5DFD" w:rsidRDefault="00EF5DFD" w:rsidP="00EF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EF5DFD" w:rsidRPr="00EF5DFD" w:rsidTr="00EF5DF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F5DFD" w:rsidRPr="00EF5DFD" w:rsidTr="00EF5DF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5DFD" w:rsidRPr="00EF5DFD" w:rsidRDefault="00EF5DFD" w:rsidP="00EF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6361"/>
        <w:gridCol w:w="1421"/>
      </w:tblGrid>
      <w:tr w:rsidR="00EF5DFD" w:rsidRPr="00EF5DFD" w:rsidTr="00EF5DFD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Распределить чистую прибыль Общества, полученную по результатам 2020 финансового года, следующим образом: 1) Утвердить дивиденды по привилегированным акциям Общества по результатам 2020 финансового года в размере 4 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(Четыре) рубля 27 (Двадцать семь) копеек на одну привилегированную акцию, выплату дивидендов произвести в денежной форме, в рублях. 2) Дивиденды по обыкновенным акциям ПАО «ГАЗ» за 2020 год не выплачивать. 3) Оставшуюся чистую прибыль оставить в распоряжении ПАО «ГАЗ». 2.Определить 19 июля 2021 года как дату, на которую определяются лица, имеющие право на получение дивидендов по привилегированным акциям Общества по результатам 2020 финансового года.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15939210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366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Воздержался: 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45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Совет директоров Общества в следующем составе: 1. Важенин Илья Михайлович 2. Вольф Зигфрид/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Siegfried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Wolf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Викторович 4. Горлов Александр Витальевич 5. Золотарев Александр Васильевич 6. Матвеева Елена Викторовна 7. Никитин Глеб Сергеевич 8. 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Пустограева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Леонидовна 9. Рыжкова Елена Александровна 10. Шишков Алексей Викторович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143455986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666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1665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117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Важенин Илья Михайлович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15668387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 Зигфрид/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Siegfried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16985258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Викторович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15668456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 Александр Витальевич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16413120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Александр Васильевич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14602745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Елена Викторовна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15668639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Глеб Сергеевич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17110649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Пустограева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Леонидовна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15668375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Елена Александровна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15668460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решения:2.1.10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 Алексей Викторович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Нет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115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решения:3.1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Ревизионную комиссию Общества в следующем составе: 1. Иванец Максим Владиславович 2. Лепешкин Александр Владимирович 3. Лутохина Ирина Львовна - Иванец Максим Владиславович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15939304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74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142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306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решения:3.2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Ревизионную комиссию Общества в следующем составе: 1. Иванец Максим Владиславович 2. Лепешкин Александр Владимирович 3. Лутохина Ирина Львовна - Лепешкин Александр Владимирович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15939507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74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Воздержался: 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88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решения:3.3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Ревизионную комиссию Общества в следующем составе: 1. Иванец Максим Владиславович 2. Лепешкин Александр Владимирович 3. Лутохина Ирина Львовна - Лутохина Ирина Львовна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15939162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74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157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433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аудитором Общества: 1. АО «БДО 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Юникон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(ИНН 7716021332) 2. АО «ЦБА» (ИНН 7710033420) 3. АО «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Гориславцев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К. Аудит» (ИНН 7710255856): АО «БДО 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Юникон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(ИНН 7716021332)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15938857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125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203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641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аудитором Общества: 1. АО «БДО 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Юникон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(ИНН 7716021332) 2. АО «ЦБА» (ИНН 7710033420) 3. АО «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Гориславцев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К. Аудит» (ИНН 7710255856): АО «ЦБА» (ИНН 7710033420)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Нет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391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15938739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208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488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аудитором Общества: 1. АО «БДО 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Юникон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(ИНН 7716021332) 2. АО «ЦБА» (ИНН 7710033420) 3. АО «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Гориславцев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К. Аудит» (ИНН 7710255856): АО «</w:t>
            </w:r>
            <w:proofErr w:type="spellStart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Гориславцев</w:t>
            </w:r>
            <w:proofErr w:type="spellEnd"/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К. Аудит» (ИНН 7710255856)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Нет</w:t>
            </w:r>
          </w:p>
        </w:tc>
      </w:tr>
      <w:tr w:rsidR="00EF5DFD" w:rsidRPr="00EF5DFD" w:rsidTr="00EF5DF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DFD" w:rsidRPr="00EF5DFD" w:rsidRDefault="00EF5DFD" w:rsidP="00EF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65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15938753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203</w:t>
            </w:r>
            <w:r w:rsidRPr="00EF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805</w:t>
            </w:r>
          </w:p>
        </w:tc>
      </w:tr>
    </w:tbl>
    <w:p w:rsidR="00EF5DFD" w:rsidRPr="00EF5DFD" w:rsidRDefault="00EF5DFD" w:rsidP="00EF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DFD" w:rsidRPr="00EF5DFD" w:rsidRDefault="00EF5DFD" w:rsidP="00EF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EF5DFD" w:rsidRPr="00EF5DFD" w:rsidRDefault="00EF5DFD" w:rsidP="00EF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DFD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Информация о решениях, принятых общим собранием акционеров, а также об итогах голосования на общем собрании акционеров.</w:t>
      </w:r>
    </w:p>
    <w:p w:rsidR="00EF5DFD" w:rsidRPr="00EF5DFD" w:rsidRDefault="00EF5DFD" w:rsidP="00EF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</w:t>
      </w:r>
      <w:proofErr w:type="gramStart"/>
      <w:r w:rsidRPr="00EF5D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действии.*</w:t>
      </w:r>
      <w:proofErr w:type="gramEnd"/>
      <w:r w:rsidRPr="00EF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НРД не отвечает за полноту и достоверность информации, полученной от третьих лиц. </w:t>
      </w:r>
    </w:p>
    <w:p w:rsidR="002366B0" w:rsidRDefault="002366B0" w:rsidP="00EF5DFD">
      <w:pPr>
        <w:pStyle w:val="1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F5DFD" w:rsidRPr="00EF5DFD" w:rsidRDefault="00EF5DFD" w:rsidP="00EF5D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F5DFD">
        <w:rPr>
          <w:rFonts w:ascii="Times New Roman" w:hAnsi="Times New Roman" w:cs="Times New Roman"/>
          <w:sz w:val="24"/>
          <w:szCs w:val="24"/>
        </w:rPr>
        <w:t xml:space="preserve">Приложение 1: </w:t>
      </w:r>
      <w:hyperlink r:id="rId4" w:tgtFrame="_blank" w:history="1">
        <w:r w:rsidRPr="00EF5DFD">
          <w:rPr>
            <w:rStyle w:val="a3"/>
            <w:rFonts w:ascii="Times New Roman" w:hAnsi="Times New Roman" w:cs="Times New Roman"/>
            <w:sz w:val="24"/>
            <w:szCs w:val="24"/>
          </w:rPr>
          <w:t>Адрес в сети Интернет, по которому можно ознакомиться с дополнительной документацией</w:t>
        </w:r>
      </w:hyperlink>
    </w:p>
    <w:p w:rsidR="00B355D3" w:rsidRDefault="00B355D3" w:rsidP="002366B0">
      <w:pPr>
        <w:pStyle w:val="1"/>
        <w:shd w:val="clear" w:color="auto" w:fill="FFFFFF"/>
        <w:spacing w:before="300" w:after="150"/>
        <w:ind w:firstLine="709"/>
        <w:jc w:val="both"/>
      </w:pPr>
    </w:p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0097C"/>
    <w:rsid w:val="002366B0"/>
    <w:rsid w:val="00327301"/>
    <w:rsid w:val="00453E33"/>
    <w:rsid w:val="004E759E"/>
    <w:rsid w:val="005731B2"/>
    <w:rsid w:val="00724427"/>
    <w:rsid w:val="00726D1A"/>
    <w:rsid w:val="00741CEF"/>
    <w:rsid w:val="00856E30"/>
    <w:rsid w:val="008700C6"/>
    <w:rsid w:val="008E3C46"/>
    <w:rsid w:val="009034B9"/>
    <w:rsid w:val="00B355D3"/>
    <w:rsid w:val="00C06335"/>
    <w:rsid w:val="00D46206"/>
    <w:rsid w:val="00D869B8"/>
    <w:rsid w:val="00EE7F0B"/>
    <w:rsid w:val="00E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00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7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F5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0056585f6b14f2b85dffe9d6ead56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22</cp:revision>
  <dcterms:created xsi:type="dcterms:W3CDTF">2021-05-12T06:49:00Z</dcterms:created>
  <dcterms:modified xsi:type="dcterms:W3CDTF">2021-07-02T08:33:00Z</dcterms:modified>
</cp:coreProperties>
</file>