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B1" w:rsidRDefault="00F71D07" w:rsidP="00C36D74">
      <w:pPr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32">
        <w:rPr>
          <w:rFonts w:ascii="Times New Roman" w:hAnsi="Times New Roman" w:cs="Times New Roman"/>
          <w:b/>
          <w:sz w:val="24"/>
          <w:szCs w:val="24"/>
        </w:rPr>
        <w:t xml:space="preserve">Ключевая информация 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>о договоре</w:t>
      </w:r>
      <w:r w:rsidR="00DA60C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брокерско</w:t>
      </w:r>
      <w:r w:rsidR="00DA60C9">
        <w:rPr>
          <w:rFonts w:ascii="Times New Roman" w:hAnsi="Times New Roman" w:cs="Times New Roman"/>
          <w:b/>
          <w:sz w:val="24"/>
          <w:szCs w:val="24"/>
        </w:rPr>
        <w:t>м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DA60C9">
        <w:rPr>
          <w:rFonts w:ascii="Times New Roman" w:hAnsi="Times New Roman" w:cs="Times New Roman"/>
          <w:b/>
          <w:sz w:val="24"/>
          <w:szCs w:val="24"/>
        </w:rPr>
        <w:t>и</w:t>
      </w:r>
    </w:p>
    <w:p w:rsidR="00BF2B40" w:rsidRPr="00C36D74" w:rsidRDefault="00BF2B40" w:rsidP="00BF2B40">
      <w:pPr>
        <w:contextualSpacing/>
        <w:jc w:val="center"/>
        <w:rPr>
          <w:rFonts w:ascii="Times New Roman" w:hAnsi="Times New Roman" w:cs="Times New Roman"/>
          <w:sz w:val="10"/>
          <w:szCs w:val="24"/>
        </w:rPr>
      </w:pPr>
    </w:p>
    <w:p w:rsidR="00AA442C" w:rsidRDefault="00BF2B40" w:rsidP="006E1394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32">
        <w:rPr>
          <w:rFonts w:ascii="Times New Roman" w:hAnsi="Times New Roman" w:cs="Times New Roman"/>
          <w:sz w:val="24"/>
          <w:szCs w:val="24"/>
        </w:rPr>
        <w:t xml:space="preserve">Предоставляемый перечень информации о </w:t>
      </w:r>
      <w:r w:rsidR="00D64DB2">
        <w:rPr>
          <w:rFonts w:ascii="Times New Roman" w:hAnsi="Times New Roman" w:cs="Times New Roman"/>
          <w:sz w:val="24"/>
          <w:szCs w:val="24"/>
        </w:rPr>
        <w:t>Д</w:t>
      </w:r>
      <w:r w:rsidRPr="00842532">
        <w:rPr>
          <w:rFonts w:ascii="Times New Roman" w:hAnsi="Times New Roman" w:cs="Times New Roman"/>
          <w:sz w:val="24"/>
          <w:szCs w:val="24"/>
        </w:rPr>
        <w:t>оговоре о</w:t>
      </w:r>
      <w:r w:rsidR="00D64DB2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Pr="00842532">
        <w:rPr>
          <w:rFonts w:ascii="Times New Roman" w:hAnsi="Times New Roman" w:cs="Times New Roman"/>
          <w:sz w:val="24"/>
          <w:szCs w:val="24"/>
        </w:rPr>
        <w:t>брокерск</w:t>
      </w:r>
      <w:r w:rsidR="00D64DB2">
        <w:rPr>
          <w:rFonts w:ascii="Times New Roman" w:hAnsi="Times New Roman" w:cs="Times New Roman"/>
          <w:sz w:val="24"/>
          <w:szCs w:val="24"/>
        </w:rPr>
        <w:t>их услуг на фондово</w:t>
      </w:r>
      <w:r w:rsidR="00420E58">
        <w:rPr>
          <w:rFonts w:ascii="Times New Roman" w:hAnsi="Times New Roman" w:cs="Times New Roman"/>
          <w:sz w:val="24"/>
          <w:szCs w:val="24"/>
        </w:rPr>
        <w:t>м рынке Российской Федерации (д</w:t>
      </w:r>
      <w:r w:rsidR="00D64DB2">
        <w:rPr>
          <w:rFonts w:ascii="Times New Roman" w:hAnsi="Times New Roman" w:cs="Times New Roman"/>
          <w:sz w:val="24"/>
          <w:szCs w:val="24"/>
        </w:rPr>
        <w:t xml:space="preserve">алее – </w:t>
      </w:r>
      <w:proofErr w:type="gramStart"/>
      <w:r w:rsidR="00D64DB2">
        <w:rPr>
          <w:rFonts w:ascii="Times New Roman" w:hAnsi="Times New Roman" w:cs="Times New Roman"/>
          <w:sz w:val="24"/>
          <w:szCs w:val="24"/>
        </w:rPr>
        <w:t>Договор)</w:t>
      </w:r>
      <w:r w:rsidRPr="00842532">
        <w:rPr>
          <w:rFonts w:ascii="Times New Roman" w:hAnsi="Times New Roman" w:cs="Times New Roman"/>
          <w:sz w:val="24"/>
          <w:szCs w:val="24"/>
        </w:rPr>
        <w:t xml:space="preserve"> </w:t>
      </w:r>
      <w:r w:rsidR="00420E58">
        <w:rPr>
          <w:rFonts w:ascii="Times New Roman" w:hAnsi="Times New Roman" w:cs="Times New Roman"/>
          <w:sz w:val="24"/>
          <w:szCs w:val="24"/>
        </w:rPr>
        <w:t xml:space="preserve"> </w:t>
      </w:r>
      <w:r w:rsidRPr="00842532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842532">
        <w:rPr>
          <w:rFonts w:ascii="Times New Roman" w:hAnsi="Times New Roman" w:cs="Times New Roman"/>
          <w:sz w:val="24"/>
          <w:szCs w:val="24"/>
        </w:rPr>
        <w:t xml:space="preserve"> минимальным, не заменяет собой все условия </w:t>
      </w:r>
      <w:r w:rsidR="00420E58">
        <w:rPr>
          <w:rFonts w:ascii="Times New Roman" w:hAnsi="Times New Roman" w:cs="Times New Roman"/>
          <w:sz w:val="24"/>
          <w:szCs w:val="24"/>
        </w:rPr>
        <w:t>Д</w:t>
      </w:r>
      <w:r w:rsidR="00420E58" w:rsidRPr="00842532">
        <w:rPr>
          <w:rFonts w:ascii="Times New Roman" w:hAnsi="Times New Roman" w:cs="Times New Roman"/>
          <w:sz w:val="24"/>
          <w:szCs w:val="24"/>
        </w:rPr>
        <w:t>оговор</w:t>
      </w:r>
      <w:r w:rsidR="008B7BF1">
        <w:rPr>
          <w:rFonts w:ascii="Times New Roman" w:hAnsi="Times New Roman" w:cs="Times New Roman"/>
          <w:sz w:val="24"/>
          <w:szCs w:val="24"/>
        </w:rPr>
        <w:t>а</w:t>
      </w:r>
      <w:r w:rsidRPr="00842532">
        <w:rPr>
          <w:rFonts w:ascii="Times New Roman" w:hAnsi="Times New Roman" w:cs="Times New Roman"/>
          <w:sz w:val="24"/>
          <w:szCs w:val="24"/>
        </w:rPr>
        <w:t xml:space="preserve">, а также необходимость ознакомиться с полным текстом </w:t>
      </w:r>
      <w:r w:rsidR="006E1394">
        <w:rPr>
          <w:rFonts w:ascii="Times New Roman" w:hAnsi="Times New Roman" w:cs="Times New Roman"/>
          <w:sz w:val="24"/>
          <w:szCs w:val="24"/>
        </w:rPr>
        <w:t>Договора</w:t>
      </w:r>
      <w:r w:rsidRPr="008425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8DB" w:rsidRDefault="00AA442C" w:rsidP="006E1394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42532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532">
        <w:rPr>
          <w:rFonts w:ascii="Times New Roman" w:hAnsi="Times New Roman" w:cs="Times New Roman"/>
          <w:sz w:val="24"/>
          <w:szCs w:val="24"/>
        </w:rPr>
        <w:t>не является вкладом. Средства, размещенные на брокерском счете, не застрахованы (не гарантированы) государством. В случае потерь компенсаций не предусмотрено. Доход не гарантирован.</w:t>
      </w:r>
      <w:r w:rsidR="00F528DB" w:rsidRPr="00F52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A5A" w:rsidRPr="00842532" w:rsidRDefault="009769C0" w:rsidP="006223A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</w:t>
      </w:r>
      <w:r w:rsidR="00F528DB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6E1394">
        <w:rPr>
          <w:rFonts w:ascii="Times New Roman" w:hAnsi="Times New Roman" w:cs="Times New Roman"/>
          <w:sz w:val="24"/>
          <w:szCs w:val="24"/>
        </w:rPr>
        <w:t>ей</w:t>
      </w:r>
      <w:r w:rsidR="00F528DB">
        <w:rPr>
          <w:rFonts w:ascii="Times New Roman" w:hAnsi="Times New Roman" w:cs="Times New Roman"/>
          <w:sz w:val="24"/>
          <w:szCs w:val="24"/>
        </w:rPr>
        <w:t xml:space="preserve"> о рисках, связанных с совершением операций на рынке ценных бумаг</w:t>
      </w:r>
      <w:r w:rsidR="006E13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2034"/>
        <w:gridCol w:w="7575"/>
      </w:tblGrid>
      <w:tr w:rsidR="00BF2B40" w:rsidTr="00200E5B">
        <w:tc>
          <w:tcPr>
            <w:tcW w:w="456" w:type="dxa"/>
          </w:tcPr>
          <w:p w:rsidR="00BF2B40" w:rsidRPr="00E731D9" w:rsidRDefault="00BF2B40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BF2B40" w:rsidRPr="005A2499" w:rsidRDefault="00D85A7D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  <w:r w:rsidR="00BF2B40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:rsidR="00814A5A" w:rsidRPr="00467C0E" w:rsidRDefault="00BF2B40" w:rsidP="00CE351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</w:t>
            </w:r>
            <w:r w:rsidR="007071DE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467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оказание услуг по исполнению поручений клиента на совершение гражданско–правовых сделок с ценными бумагами. </w:t>
            </w:r>
            <w:r w:rsidR="003A140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="003A140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Вы можете на 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АО Банк «Развитие-Столица»</w:t>
            </w:r>
            <w:r w:rsidR="00E32A5C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4076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3C4E64" w:rsidTr="00200E5B">
        <w:tc>
          <w:tcPr>
            <w:tcW w:w="456" w:type="dxa"/>
          </w:tcPr>
          <w:p w:rsidR="003C4E64" w:rsidRPr="00883C82" w:rsidRDefault="00883C82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:rsidR="003C4E64" w:rsidRPr="005A2499" w:rsidRDefault="00883C82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договора </w:t>
            </w:r>
          </w:p>
        </w:tc>
        <w:tc>
          <w:tcPr>
            <w:tcW w:w="7575" w:type="dxa"/>
          </w:tcPr>
          <w:p w:rsidR="003C4E64" w:rsidRPr="00467C0E" w:rsidRDefault="00883C82" w:rsidP="007071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Брокер может в одностороннем порядке вносить изменения в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оговор, в том числе в тарифы. Такие изменения публикуются на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сайте: 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F71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C0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48C0" w:rsidRPr="00467C0E">
              <w:rPr>
                <w:rFonts w:ascii="Times New Roman" w:hAnsi="Times New Roman" w:cs="Times New Roman"/>
                <w:sz w:val="20"/>
                <w:szCs w:val="20"/>
              </w:rPr>
              <w:t>Раздел:  Финансовые рынки, брокерское обслуживание.</w:t>
            </w:r>
          </w:p>
        </w:tc>
      </w:tr>
      <w:tr w:rsidR="00883C82" w:rsidTr="00200E5B">
        <w:tc>
          <w:tcPr>
            <w:tcW w:w="456" w:type="dxa"/>
          </w:tcPr>
          <w:p w:rsidR="00883C82" w:rsidRPr="00420A63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</w:t>
            </w:r>
          </w:p>
        </w:tc>
        <w:tc>
          <w:tcPr>
            <w:tcW w:w="7575" w:type="dxa"/>
          </w:tcPr>
          <w:p w:rsidR="00883C82" w:rsidRPr="00467C0E" w:rsidRDefault="00883C82" w:rsidP="007071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94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брокерском обслуживании заключается </w:t>
            </w:r>
            <w:r w:rsidR="00066945" w:rsidRPr="00066945">
              <w:rPr>
                <w:rFonts w:ascii="Times New Roman" w:hAnsi="Times New Roman" w:cs="Times New Roman"/>
                <w:sz w:val="20"/>
                <w:szCs w:val="20"/>
              </w:rPr>
              <w:t>в офисе Банка при личном присутствии.</w:t>
            </w:r>
            <w:r w:rsidRPr="00467C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7575" w:type="dxa"/>
          </w:tcPr>
          <w:p w:rsidR="00883C82" w:rsidRPr="00467C0E" w:rsidRDefault="002348C0" w:rsidP="004143E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взимает с Клиента вознаграждение за предоставленные услуги, предусмотренные Договором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, в размере,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предусмотренном Тарифом Банка, действующим на момент оказания соответствующей услуги. Тарифы размещены на офиц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64DB2" w:rsidRPr="00467C0E">
              <w:rPr>
                <w:rFonts w:ascii="Times New Roman" w:hAnsi="Times New Roman" w:cs="Times New Roman"/>
                <w:sz w:val="20"/>
                <w:szCs w:val="20"/>
              </w:rPr>
              <w:t>альном сайте АО Банк «Развитие-Столица»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dcapital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  Раздел: </w:t>
            </w:r>
            <w:bookmarkStart w:id="0" w:name="_GoBack"/>
            <w:bookmarkEnd w:id="0"/>
            <w:r w:rsidR="00420E58" w:rsidRPr="00467C0E">
              <w:rPr>
                <w:rFonts w:ascii="Times New Roman" w:hAnsi="Times New Roman" w:cs="Times New Roman"/>
                <w:sz w:val="20"/>
                <w:szCs w:val="20"/>
              </w:rPr>
              <w:t>Финансовые рынки, брокерское обслуживание. За оказание депозитарных услуг - Раздел: Депозитарное обслуживание.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Финансовые инструменты</w:t>
            </w:r>
          </w:p>
          <w:p w:rsidR="00883C82" w:rsidRPr="005A249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:rsidR="00883C82" w:rsidRPr="00467C0E" w:rsidRDefault="00883C82" w:rsidP="007071D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C0E">
              <w:rPr>
                <w:rFonts w:ascii="Times New Roman" w:hAnsi="Times New Roman" w:cs="Times New Roman"/>
              </w:rPr>
              <w:t xml:space="preserve">В соответствии с </w:t>
            </w:r>
            <w:r w:rsidR="00E66679" w:rsidRPr="00467C0E">
              <w:rPr>
                <w:rFonts w:ascii="Times New Roman" w:hAnsi="Times New Roman" w:cs="Times New Roman"/>
              </w:rPr>
              <w:t>Д</w:t>
            </w:r>
            <w:r w:rsidRPr="00467C0E">
              <w:rPr>
                <w:rFonts w:ascii="Times New Roman" w:hAnsi="Times New Roman" w:cs="Times New Roman"/>
              </w:rPr>
              <w:t>оговором Вам доступны операции с</w:t>
            </w:r>
            <w:r w:rsidR="00E66679" w:rsidRPr="00467C0E">
              <w:rPr>
                <w:rFonts w:ascii="Times New Roman" w:hAnsi="Times New Roman" w:cs="Times New Roman"/>
              </w:rPr>
              <w:t xml:space="preserve"> ценными бумагами, которые Банк вправе совершать по поручению инвестора и за его счет на ПАО Московская Биржа.</w:t>
            </w:r>
          </w:p>
        </w:tc>
      </w:tr>
      <w:tr w:rsidR="00883C82" w:rsidTr="00200E5B">
        <w:tc>
          <w:tcPr>
            <w:tcW w:w="456" w:type="dxa"/>
          </w:tcPr>
          <w:p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575" w:type="dxa"/>
          </w:tcPr>
          <w:p w:rsidR="00883C82" w:rsidRPr="00467C0E" w:rsidRDefault="00134002" w:rsidP="00A077D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7C0E">
              <w:rPr>
                <w:rFonts w:ascii="Times New Roman" w:hAnsi="Times New Roman" w:cs="Times New Roman"/>
              </w:rPr>
              <w:t xml:space="preserve">В случае, если законодательством Российской Федерации установлены требования об обязательном прохождении Тестирования для совершения Клиентом-физическим лицом, не являющимся квалифицированным инвестором, определенных видов сделок и/или приобретения определенных видов Финансовых инструментов, поручения, полученные от такого Клиента физического лица, исполняются Банком только при наличии положительного результата Тестирования, проведенного Банком и подтвержденного направленным Банком Клиенту уведомлением о результатах Тестирования. В случае получения отрицательного результата Тестирования Банк отказывает в исполнении </w:t>
            </w:r>
            <w:proofErr w:type="gramStart"/>
            <w:r w:rsidRPr="00467C0E">
              <w:rPr>
                <w:rFonts w:ascii="Times New Roman" w:hAnsi="Times New Roman" w:cs="Times New Roman"/>
              </w:rPr>
              <w:t>Поручений</w:t>
            </w:r>
            <w:proofErr w:type="gramEnd"/>
            <w:r w:rsidRPr="00467C0E">
              <w:rPr>
                <w:rFonts w:ascii="Times New Roman" w:hAnsi="Times New Roman" w:cs="Times New Roman"/>
              </w:rPr>
              <w:t xml:space="preserve"> требующих проведения Тестирования. </w:t>
            </w:r>
          </w:p>
          <w:p w:rsidR="00883C82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</w:t>
            </w:r>
            <w:r w:rsidR="00FF484E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такие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сделки являются более рискованными, чем сделки с инструментами, доступными для неквалифицированных инвесторов, по которым не требуется прохождение тестирования. 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Сделки (договоры), совершение которых требует наличие статуса квалифицированного инвестора  </w:t>
            </w:r>
          </w:p>
        </w:tc>
        <w:tc>
          <w:tcPr>
            <w:tcW w:w="7575" w:type="dxa"/>
          </w:tcPr>
          <w:p w:rsidR="00883C82" w:rsidRPr="00467C0E" w:rsidRDefault="00770F2B" w:rsidP="00C91FA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Брокерские услуги с Финансовыми инструментами, предназначенными для квалифицированных инвесторов, оказываются Банком только для лиц, указанных в п. 2 ст. 51.2 Федерального закона от 22.04.1996 № 39-ФЗ «О рынке ценных бумаг» или признанных Банком квалифицированными инвесторами в соответствии с Регламентом АО Банк «Развитие-Столица» принятия решения о признании лица квалифицированным инвестором. (Регламент размещен на официальном сайте Банка </w:t>
            </w:r>
            <w:hyperlink r:id="rId8" w:history="1"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dcapital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67C0E">
                <w:rPr>
                  <w:rStyle w:val="af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>Обращаем Ваше внимание, что сделки с инструментами, предназначенными для квалифицированных инвесторов, являются более рискованными, чем сделки с инструментами, предназначенными для неквалифицированных инвесторов.</w:t>
            </w:r>
          </w:p>
        </w:tc>
      </w:tr>
      <w:tr w:rsidR="00883C82" w:rsidTr="00200E5B">
        <w:tc>
          <w:tcPr>
            <w:tcW w:w="456" w:type="dxa"/>
          </w:tcPr>
          <w:p w:rsidR="00883C82" w:rsidRPr="00270916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Возможность совершения маржинальных</w:t>
            </w:r>
            <w:r w:rsidR="0053129F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и сделок, приводящих к непокрытой позиции </w:t>
            </w:r>
          </w:p>
        </w:tc>
        <w:tc>
          <w:tcPr>
            <w:tcW w:w="7575" w:type="dxa"/>
          </w:tcPr>
          <w:p w:rsidR="00883C82" w:rsidRPr="00467C0E" w:rsidRDefault="00770F2B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совершения маржинальных сделок и сделок, приводящих к возникновению непокрытой позиции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предусмотрена</w:t>
            </w:r>
            <w:r w:rsidR="00883C82"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C82" w:rsidRPr="00467C0E" w:rsidRDefault="00883C82" w:rsidP="00770F2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ценных бумаг </w:t>
            </w:r>
          </w:p>
        </w:tc>
        <w:tc>
          <w:tcPr>
            <w:tcW w:w="7575" w:type="dxa"/>
          </w:tcPr>
          <w:p w:rsidR="00883C82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брокером принадлежащих клиенту ценных бумаг </w:t>
            </w:r>
            <w:r w:rsidR="00770F2B" w:rsidRPr="00467C0E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  <w:p w:rsidR="00883C82" w:rsidRPr="00467C0E" w:rsidRDefault="00883C82" w:rsidP="0098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034" w:type="dxa"/>
          </w:tcPr>
          <w:p w:rsidR="00883C82" w:rsidRPr="005A2499" w:rsidRDefault="00883C82" w:rsidP="008B7BF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принадлежащих Вам денежных средств </w:t>
            </w:r>
          </w:p>
        </w:tc>
        <w:tc>
          <w:tcPr>
            <w:tcW w:w="7575" w:type="dxa"/>
          </w:tcPr>
          <w:p w:rsidR="00CC0379" w:rsidRPr="00467C0E" w:rsidRDefault="00883C82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брокером принадлежащих клиенту денежных средств </w:t>
            </w:r>
            <w:r w:rsidR="00770F2B" w:rsidRPr="00467C0E">
              <w:rPr>
                <w:rFonts w:ascii="Times New Roman" w:hAnsi="Times New Roman" w:cs="Times New Roman"/>
                <w:sz w:val="20"/>
                <w:szCs w:val="20"/>
              </w:rPr>
              <w:t>не предусмотрено.</w:t>
            </w:r>
          </w:p>
          <w:p w:rsidR="00883C82" w:rsidRPr="00467C0E" w:rsidRDefault="00883C82" w:rsidP="0098429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подачи, сроки приема и исполнения поручений </w:t>
            </w:r>
          </w:p>
        </w:tc>
        <w:tc>
          <w:tcPr>
            <w:tcW w:w="7575" w:type="dxa"/>
          </w:tcPr>
          <w:p w:rsidR="00770F2B" w:rsidRPr="00467C0E" w:rsidRDefault="00770F2B" w:rsidP="00A077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совершает сделки за счет Клиента только на основании Поручений на совершение сделок, составленных по форме Приложения № 2 и 3 к Договору и передаются в Банк способом, указанным в пунктах 3.6 -3.10 Договора.</w:t>
            </w:r>
          </w:p>
          <w:p w:rsidR="00883C82" w:rsidRPr="00467C0E" w:rsidRDefault="00770F2B" w:rsidP="006223A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Все поручения, приняты</w:t>
            </w:r>
            <w:r w:rsidR="005E5771" w:rsidRPr="00467C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Банком, исполняются с соблюдением принципов </w:t>
            </w:r>
            <w:r w:rsidR="005E5771" w:rsidRPr="00467C0E">
              <w:rPr>
                <w:rFonts w:ascii="Times New Roman" w:hAnsi="Times New Roman" w:cs="Times New Roman"/>
                <w:sz w:val="20"/>
                <w:szCs w:val="20"/>
              </w:rPr>
              <w:t>равенства условий для всех Клиентов и приоритетности интересов Клиентов над интересами самого Банка при совершении сделок на рынке ценных бумаг. Все Поручения, в том числе с одинаковыми условиями исполняются Банком в порядке очередности их поступления от Клиентов.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и сроки получения клиентом отчет</w:t>
            </w:r>
            <w:r w:rsidR="00CC0379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7575" w:type="dxa"/>
          </w:tcPr>
          <w:p w:rsidR="00600418" w:rsidRPr="00467C0E" w:rsidRDefault="00600418" w:rsidP="00C91FA5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предоставляет в одном экземпляре Клиенту отчет о совершенных сделках по итогам каждого торгового дня, в течение которого проводилась хотя бы одна операция по лицевому счету Клиента, в срок не позднее 30 (тридцати) дней, следующих за месяцем, в котором проводились сделки.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Кроме отчета по итогам каждого торгового дня, Банк ежемесячно оформляет и в пятидневный срок по истечении месяца предоставляет Клиенту в одном экземпляре отчет обо всех сделках, совершенных по его Заявкам, а также иных операциях за месяц. 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3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Ограничение ответственности брокера</w:t>
            </w:r>
          </w:p>
        </w:tc>
        <w:tc>
          <w:tcPr>
            <w:tcW w:w="7575" w:type="dxa"/>
          </w:tcPr>
          <w:p w:rsidR="00A374D4" w:rsidRPr="00467C0E" w:rsidRDefault="00A374D4" w:rsidP="00C91FA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не отвечает перед Клиентом за неисполнение/ненадлежащее исполнение обязательств третьими лицами по сделкам, заключенным Банком по Поручениям Клиента. Банк не несет ответственности за невыполнение Поручений Клиента, если такое невыполнение произошло не по вине Банка.</w:t>
            </w:r>
            <w:r w:rsidR="00C91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Банк не несет ответственности за совершение операций по Поручению Клиентов, сопровождающихся неправомерным использованием инсайдерской информации и (или) являющихся манипулированием рынком в соответствии с положениями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4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брокером функций налогового агента </w:t>
            </w:r>
          </w:p>
        </w:tc>
        <w:tc>
          <w:tcPr>
            <w:tcW w:w="7575" w:type="dxa"/>
          </w:tcPr>
          <w:p w:rsidR="00883C82" w:rsidRPr="00467C0E" w:rsidRDefault="00A374D4" w:rsidP="006223A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 соответствии с Налоговым кодексом Российской Федерации Банк осуществляет функции налогового агента в отношении Клиентов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>физически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лиц, признанны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предусмотренном налоговым законодательством Российской Федерации, резидентами Российской Федерации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>юридически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и физически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лиц, не признанны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223AE" w:rsidRPr="006223AE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предусмотренном налоговым законодательством Российской Федерации, резидентами Российской Федерации</w:t>
            </w:r>
            <w:r w:rsidR="00622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C82" w:rsidTr="00200E5B">
        <w:tc>
          <w:tcPr>
            <w:tcW w:w="456" w:type="dxa"/>
          </w:tcPr>
          <w:p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626C2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и адресах направления обращений (жалоб) </w:t>
            </w:r>
          </w:p>
        </w:tc>
        <w:tc>
          <w:tcPr>
            <w:tcW w:w="7575" w:type="dxa"/>
          </w:tcPr>
          <w:p w:rsidR="00190D68" w:rsidRDefault="00883C82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Вы можете</w:t>
            </w:r>
            <w:r w:rsidR="008A64B1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обратиться в Банк как к профессиональному участнику, предоставляющему услуги в качестве брокера, </w:t>
            </w:r>
          </w:p>
          <w:p w:rsidR="00190D68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по адресу местонахождения Банка</w:t>
            </w:r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(105064, </w:t>
            </w:r>
            <w:proofErr w:type="spellStart"/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AE79F5" w:rsidRPr="00467C0E">
              <w:rPr>
                <w:rFonts w:ascii="Times New Roman" w:hAnsi="Times New Roman" w:cs="Times New Roman"/>
                <w:sz w:val="20"/>
                <w:szCs w:val="20"/>
              </w:rPr>
              <w:t>, Нижний Сусальный пер., д.5, стр.15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0D68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обратиться в Саморегулируемую организацию НАУФОР, членом которой является Банк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(129090,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, 1-й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Коптельский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пер., д.18, стр.1)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C82" w:rsidRPr="00467C0E" w:rsidRDefault="008A64B1" w:rsidP="00036F7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или подать жалобу в Банк России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(107016, г.</w:t>
            </w:r>
            <w:r w:rsidR="00F72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Москва, ул.</w:t>
            </w:r>
            <w:r w:rsidR="00F72B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Неглинная</w:t>
            </w:r>
            <w:proofErr w:type="spellEnd"/>
            <w:r w:rsidR="00036F75" w:rsidRPr="00467C0E">
              <w:rPr>
                <w:rFonts w:ascii="Times New Roman" w:hAnsi="Times New Roman" w:cs="Times New Roman"/>
                <w:sz w:val="20"/>
                <w:szCs w:val="20"/>
              </w:rPr>
              <w:t>, д.12)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A4110">
              <w:rPr>
                <w:rFonts w:ascii="Times New Roman" w:hAnsi="Times New Roman" w:cs="Times New Roman"/>
                <w:sz w:val="18"/>
                <w:szCs w:val="24"/>
              </w:rPr>
              <w:t>6</w:t>
            </w: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урегулирования споров </w:t>
            </w:r>
          </w:p>
        </w:tc>
        <w:tc>
          <w:tcPr>
            <w:tcW w:w="7575" w:type="dxa"/>
          </w:tcPr>
          <w:p w:rsidR="00190D68" w:rsidRP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8">
              <w:rPr>
                <w:rFonts w:ascii="Times New Roman" w:hAnsi="Times New Roman" w:cs="Times New Roman"/>
                <w:sz w:val="20"/>
                <w:szCs w:val="20"/>
              </w:rPr>
              <w:t>Законодательством предусмотрены следующие способы защиты прав получателя финансовых услуг:</w:t>
            </w:r>
          </w:p>
          <w:p w:rsid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-досудебное урегулирование спора;</w:t>
            </w:r>
          </w:p>
          <w:p w:rsidR="00190D68" w:rsidRPr="00190D68" w:rsidRDefault="00190D6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-урегулирование спора путем обращения в суд.</w:t>
            </w:r>
          </w:p>
          <w:p w:rsidR="00190D68" w:rsidRDefault="00EF1178" w:rsidP="00467C0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Урегулирование споров и разногласий, возникающих в ходе взаимодействия Сторон осуществляется на основании письменных обращений, жалоб, заявлений. Претензия подлежит рассмотрению в срок не превышающий 30 календарных дней со дня ее получения, если иной срок не предусмотрен законодательством Российской Федерации. Ответ оформляется в письменной форме, подписывается руководителем или уполномоченным лицом Банка и направляется по адресу, </w:t>
            </w:r>
            <w:r w:rsidR="00467C0E" w:rsidRPr="00467C0E">
              <w:rPr>
                <w:rFonts w:ascii="Times New Roman" w:hAnsi="Times New Roman" w:cs="Times New Roman"/>
                <w:sz w:val="20"/>
                <w:szCs w:val="20"/>
              </w:rPr>
              <w:t>указанному в претензии.</w:t>
            </w: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C82" w:rsidRPr="00467C0E" w:rsidRDefault="00467C0E" w:rsidP="00467C0E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C0E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в ходе взаимодействия Сторон в рамках Договора и неурегулированные в претензионном порядке, подлежат разрешению в суде общей юрисдикции в соответствии с действующим законодательством Российской Федерации.</w:t>
            </w:r>
          </w:p>
        </w:tc>
      </w:tr>
      <w:tr w:rsidR="00883C82" w:rsidTr="00200E5B">
        <w:tc>
          <w:tcPr>
            <w:tcW w:w="456" w:type="dxa"/>
          </w:tcPr>
          <w:p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8A4110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575" w:type="dxa"/>
          </w:tcPr>
          <w:p w:rsidR="00883C82" w:rsidRPr="00467C0E" w:rsidRDefault="00AA5EE3" w:rsidP="00AA5E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C0E">
              <w:rPr>
                <w:rFonts w:ascii="Times New Roman" w:hAnsi="Times New Roman"/>
                <w:sz w:val="20"/>
                <w:szCs w:val="20"/>
              </w:rPr>
              <w:t xml:space="preserve">Договор заключается на неопределенный срок и вступает в силу с момента его подписания Сторонами. Каждая из сторон имеет право расторгнуть Договор с предварительным письменным уведомлением об этом другой стороны за 10 календарных дней, при условии отсутствия неурегулированных разногласий и при условии исполнения обязательств по настоящему Договору. Срок рассмотрения претензий по настоящему Договору – 5 (Пять) рабочих дней с момента получения претензии, но не более 10 (Десяти) рабочих дней с момента направления претензии. В случае </w:t>
            </w:r>
            <w:proofErr w:type="spellStart"/>
            <w:r w:rsidRPr="00467C0E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467C0E">
              <w:rPr>
                <w:rFonts w:ascii="Times New Roman" w:hAnsi="Times New Roman"/>
                <w:sz w:val="20"/>
                <w:szCs w:val="20"/>
              </w:rPr>
              <w:t xml:space="preserve"> соглашения путем переговоров, данный спор подлежит рассмотрению в судебном порядке</w:t>
            </w:r>
            <w:r w:rsidR="006223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0AAA" w:rsidRPr="00842532" w:rsidRDefault="00AB0AAA" w:rsidP="000E22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503" w:rsidRPr="00842532" w:rsidRDefault="00460503" w:rsidP="00003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0503" w:rsidRPr="00842532" w:rsidSect="006E1394">
      <w:headerReference w:type="default" r:id="rId9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6" w:rsidRDefault="00711D56" w:rsidP="00337302">
      <w:pPr>
        <w:spacing w:after="0" w:line="240" w:lineRule="auto"/>
      </w:pPr>
      <w:r>
        <w:separator/>
      </w:r>
    </w:p>
  </w:endnote>
  <w:endnote w:type="continuationSeparator" w:id="0">
    <w:p w:rsidR="00711D56" w:rsidRDefault="00711D56" w:rsidP="003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6" w:rsidRDefault="00711D56" w:rsidP="00337302">
      <w:pPr>
        <w:spacing w:after="0" w:line="240" w:lineRule="auto"/>
      </w:pPr>
      <w:r>
        <w:separator/>
      </w:r>
    </w:p>
  </w:footnote>
  <w:footnote w:type="continuationSeparator" w:id="0">
    <w:p w:rsidR="00711D56" w:rsidRDefault="00711D56" w:rsidP="003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289"/>
      <w:docPartObj>
        <w:docPartGallery w:val="Page Numbers (Top of Page)"/>
        <w:docPartUnique/>
      </w:docPartObj>
    </w:sdtPr>
    <w:sdtEndPr/>
    <w:sdtContent>
      <w:p w:rsidR="00F62BF2" w:rsidRDefault="009048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BF2" w:rsidRDefault="00F62B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60F6"/>
    <w:multiLevelType w:val="multilevel"/>
    <w:tmpl w:val="27A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E"/>
    <w:rsid w:val="00000A50"/>
    <w:rsid w:val="00003536"/>
    <w:rsid w:val="000075E7"/>
    <w:rsid w:val="00007971"/>
    <w:rsid w:val="00011B0A"/>
    <w:rsid w:val="000144DB"/>
    <w:rsid w:val="00014F8A"/>
    <w:rsid w:val="00023EAF"/>
    <w:rsid w:val="00034A45"/>
    <w:rsid w:val="00036F75"/>
    <w:rsid w:val="00041841"/>
    <w:rsid w:val="00041A5C"/>
    <w:rsid w:val="0005093A"/>
    <w:rsid w:val="00061008"/>
    <w:rsid w:val="0006176C"/>
    <w:rsid w:val="00066945"/>
    <w:rsid w:val="00066BAD"/>
    <w:rsid w:val="00070055"/>
    <w:rsid w:val="000743C3"/>
    <w:rsid w:val="000856DE"/>
    <w:rsid w:val="000867B2"/>
    <w:rsid w:val="00087C2E"/>
    <w:rsid w:val="0009126B"/>
    <w:rsid w:val="00093362"/>
    <w:rsid w:val="00094B92"/>
    <w:rsid w:val="000A2D39"/>
    <w:rsid w:val="000A3824"/>
    <w:rsid w:val="000A41E8"/>
    <w:rsid w:val="000A49BC"/>
    <w:rsid w:val="000A4C0C"/>
    <w:rsid w:val="000A6625"/>
    <w:rsid w:val="000B073C"/>
    <w:rsid w:val="000B1B54"/>
    <w:rsid w:val="000C07C1"/>
    <w:rsid w:val="000C17EB"/>
    <w:rsid w:val="000C3B06"/>
    <w:rsid w:val="000C6001"/>
    <w:rsid w:val="000D29CD"/>
    <w:rsid w:val="000D2E10"/>
    <w:rsid w:val="000D4641"/>
    <w:rsid w:val="000E2202"/>
    <w:rsid w:val="000E22E2"/>
    <w:rsid w:val="000E4987"/>
    <w:rsid w:val="000F1780"/>
    <w:rsid w:val="000F23D3"/>
    <w:rsid w:val="000F33F5"/>
    <w:rsid w:val="0010015A"/>
    <w:rsid w:val="0010223E"/>
    <w:rsid w:val="001053A6"/>
    <w:rsid w:val="00105DE4"/>
    <w:rsid w:val="00105E21"/>
    <w:rsid w:val="00107ACB"/>
    <w:rsid w:val="00110919"/>
    <w:rsid w:val="00113192"/>
    <w:rsid w:val="00113F51"/>
    <w:rsid w:val="001147D6"/>
    <w:rsid w:val="001174BB"/>
    <w:rsid w:val="0013199A"/>
    <w:rsid w:val="00134002"/>
    <w:rsid w:val="00134CEE"/>
    <w:rsid w:val="001375B9"/>
    <w:rsid w:val="00143A70"/>
    <w:rsid w:val="001538EE"/>
    <w:rsid w:val="00153B98"/>
    <w:rsid w:val="00181F31"/>
    <w:rsid w:val="00190D68"/>
    <w:rsid w:val="00191CC1"/>
    <w:rsid w:val="001A12FA"/>
    <w:rsid w:val="001A20F5"/>
    <w:rsid w:val="001A6BD1"/>
    <w:rsid w:val="001B0E51"/>
    <w:rsid w:val="001B543D"/>
    <w:rsid w:val="001C2A3E"/>
    <w:rsid w:val="001E6B1E"/>
    <w:rsid w:val="001F304C"/>
    <w:rsid w:val="00200E5B"/>
    <w:rsid w:val="0020403F"/>
    <w:rsid w:val="0020573A"/>
    <w:rsid w:val="00211856"/>
    <w:rsid w:val="00212D12"/>
    <w:rsid w:val="00215740"/>
    <w:rsid w:val="00226452"/>
    <w:rsid w:val="0022678A"/>
    <w:rsid w:val="002302F8"/>
    <w:rsid w:val="00231F9D"/>
    <w:rsid w:val="002346FE"/>
    <w:rsid w:val="002348C0"/>
    <w:rsid w:val="002404C0"/>
    <w:rsid w:val="002441C9"/>
    <w:rsid w:val="00246561"/>
    <w:rsid w:val="002604B6"/>
    <w:rsid w:val="00264089"/>
    <w:rsid w:val="0026723F"/>
    <w:rsid w:val="002706DC"/>
    <w:rsid w:val="00270916"/>
    <w:rsid w:val="00271A15"/>
    <w:rsid w:val="00273894"/>
    <w:rsid w:val="00276334"/>
    <w:rsid w:val="00276B9D"/>
    <w:rsid w:val="00284A23"/>
    <w:rsid w:val="00294166"/>
    <w:rsid w:val="00297487"/>
    <w:rsid w:val="002A0A2F"/>
    <w:rsid w:val="002A1DC7"/>
    <w:rsid w:val="002A2266"/>
    <w:rsid w:val="002A2B6E"/>
    <w:rsid w:val="002A337F"/>
    <w:rsid w:val="002B77FC"/>
    <w:rsid w:val="002C24A3"/>
    <w:rsid w:val="002D431B"/>
    <w:rsid w:val="002D7FDC"/>
    <w:rsid w:val="002E3B82"/>
    <w:rsid w:val="002E5D3D"/>
    <w:rsid w:val="002F13C3"/>
    <w:rsid w:val="0030018F"/>
    <w:rsid w:val="003103FD"/>
    <w:rsid w:val="00317E85"/>
    <w:rsid w:val="0032399E"/>
    <w:rsid w:val="003264FA"/>
    <w:rsid w:val="00327E8C"/>
    <w:rsid w:val="003321E4"/>
    <w:rsid w:val="00332210"/>
    <w:rsid w:val="00337302"/>
    <w:rsid w:val="0035417E"/>
    <w:rsid w:val="00354885"/>
    <w:rsid w:val="00354AC6"/>
    <w:rsid w:val="0035783C"/>
    <w:rsid w:val="00370CD6"/>
    <w:rsid w:val="00371895"/>
    <w:rsid w:val="00372014"/>
    <w:rsid w:val="00385CB3"/>
    <w:rsid w:val="003928CD"/>
    <w:rsid w:val="00397012"/>
    <w:rsid w:val="003A0E3A"/>
    <w:rsid w:val="003A140C"/>
    <w:rsid w:val="003B15DC"/>
    <w:rsid w:val="003C4E64"/>
    <w:rsid w:val="003C74F7"/>
    <w:rsid w:val="003D32FC"/>
    <w:rsid w:val="003E0203"/>
    <w:rsid w:val="003E3ED0"/>
    <w:rsid w:val="00403FCA"/>
    <w:rsid w:val="00404824"/>
    <w:rsid w:val="004108C9"/>
    <w:rsid w:val="0041142C"/>
    <w:rsid w:val="004143E7"/>
    <w:rsid w:val="004174E7"/>
    <w:rsid w:val="00420A63"/>
    <w:rsid w:val="00420E58"/>
    <w:rsid w:val="00423DDE"/>
    <w:rsid w:val="00430047"/>
    <w:rsid w:val="00434174"/>
    <w:rsid w:val="00444315"/>
    <w:rsid w:val="00451C1D"/>
    <w:rsid w:val="00454A75"/>
    <w:rsid w:val="00460503"/>
    <w:rsid w:val="00461929"/>
    <w:rsid w:val="00463148"/>
    <w:rsid w:val="00465D12"/>
    <w:rsid w:val="00467C0E"/>
    <w:rsid w:val="0047042E"/>
    <w:rsid w:val="004755D6"/>
    <w:rsid w:val="00480F83"/>
    <w:rsid w:val="00483913"/>
    <w:rsid w:val="004875BF"/>
    <w:rsid w:val="00487AC2"/>
    <w:rsid w:val="0049448F"/>
    <w:rsid w:val="004A0D7E"/>
    <w:rsid w:val="004C1F71"/>
    <w:rsid w:val="004C73DC"/>
    <w:rsid w:val="004D0FCD"/>
    <w:rsid w:val="004D266A"/>
    <w:rsid w:val="004E231D"/>
    <w:rsid w:val="004E2934"/>
    <w:rsid w:val="004E2A94"/>
    <w:rsid w:val="004E3808"/>
    <w:rsid w:val="004F1765"/>
    <w:rsid w:val="004F2876"/>
    <w:rsid w:val="004F7897"/>
    <w:rsid w:val="00501202"/>
    <w:rsid w:val="00505F7E"/>
    <w:rsid w:val="0051241F"/>
    <w:rsid w:val="00512638"/>
    <w:rsid w:val="0051270A"/>
    <w:rsid w:val="00523585"/>
    <w:rsid w:val="00523D30"/>
    <w:rsid w:val="00525BD8"/>
    <w:rsid w:val="0053129F"/>
    <w:rsid w:val="00552E01"/>
    <w:rsid w:val="005559BE"/>
    <w:rsid w:val="00561640"/>
    <w:rsid w:val="00565D9C"/>
    <w:rsid w:val="00581E13"/>
    <w:rsid w:val="00584ED0"/>
    <w:rsid w:val="005863FF"/>
    <w:rsid w:val="00590F1E"/>
    <w:rsid w:val="00594215"/>
    <w:rsid w:val="005951C5"/>
    <w:rsid w:val="00597127"/>
    <w:rsid w:val="005A2499"/>
    <w:rsid w:val="005A3724"/>
    <w:rsid w:val="005A520A"/>
    <w:rsid w:val="005A66D4"/>
    <w:rsid w:val="005B7059"/>
    <w:rsid w:val="005C4BC2"/>
    <w:rsid w:val="005C5490"/>
    <w:rsid w:val="005D3585"/>
    <w:rsid w:val="005E5771"/>
    <w:rsid w:val="005E7C56"/>
    <w:rsid w:val="005F17F8"/>
    <w:rsid w:val="005F22EE"/>
    <w:rsid w:val="005F58DD"/>
    <w:rsid w:val="00600418"/>
    <w:rsid w:val="006223AE"/>
    <w:rsid w:val="00626C27"/>
    <w:rsid w:val="0062737C"/>
    <w:rsid w:val="00630DA7"/>
    <w:rsid w:val="006314D2"/>
    <w:rsid w:val="0063356D"/>
    <w:rsid w:val="006565C8"/>
    <w:rsid w:val="00661894"/>
    <w:rsid w:val="00666A01"/>
    <w:rsid w:val="006743F8"/>
    <w:rsid w:val="00682C57"/>
    <w:rsid w:val="00684522"/>
    <w:rsid w:val="00692B43"/>
    <w:rsid w:val="00694063"/>
    <w:rsid w:val="00694076"/>
    <w:rsid w:val="00694D72"/>
    <w:rsid w:val="006A2B65"/>
    <w:rsid w:val="006A59D2"/>
    <w:rsid w:val="006B0B02"/>
    <w:rsid w:val="006B4369"/>
    <w:rsid w:val="006C14FE"/>
    <w:rsid w:val="006C2953"/>
    <w:rsid w:val="006C4F94"/>
    <w:rsid w:val="006C5070"/>
    <w:rsid w:val="006D2990"/>
    <w:rsid w:val="006D74D8"/>
    <w:rsid w:val="006E1296"/>
    <w:rsid w:val="006E1394"/>
    <w:rsid w:val="006E62CD"/>
    <w:rsid w:val="006F5F89"/>
    <w:rsid w:val="006F63E9"/>
    <w:rsid w:val="00704384"/>
    <w:rsid w:val="00704E98"/>
    <w:rsid w:val="00705466"/>
    <w:rsid w:val="007071DE"/>
    <w:rsid w:val="00711D56"/>
    <w:rsid w:val="00723BB6"/>
    <w:rsid w:val="00730937"/>
    <w:rsid w:val="007344D3"/>
    <w:rsid w:val="0073704A"/>
    <w:rsid w:val="00743871"/>
    <w:rsid w:val="007504B0"/>
    <w:rsid w:val="00750566"/>
    <w:rsid w:val="00757B04"/>
    <w:rsid w:val="00761A69"/>
    <w:rsid w:val="00761D5F"/>
    <w:rsid w:val="007647A8"/>
    <w:rsid w:val="00765A2E"/>
    <w:rsid w:val="00770F2B"/>
    <w:rsid w:val="007804C5"/>
    <w:rsid w:val="00781575"/>
    <w:rsid w:val="007829D1"/>
    <w:rsid w:val="0079086D"/>
    <w:rsid w:val="00790EDE"/>
    <w:rsid w:val="00797ADD"/>
    <w:rsid w:val="007A365F"/>
    <w:rsid w:val="007C1B8F"/>
    <w:rsid w:val="007E2C41"/>
    <w:rsid w:val="007E5677"/>
    <w:rsid w:val="007F54A5"/>
    <w:rsid w:val="007F61EC"/>
    <w:rsid w:val="00805956"/>
    <w:rsid w:val="00806517"/>
    <w:rsid w:val="00814456"/>
    <w:rsid w:val="00814A5A"/>
    <w:rsid w:val="00814FC1"/>
    <w:rsid w:val="00815BF4"/>
    <w:rsid w:val="0081635C"/>
    <w:rsid w:val="008168C9"/>
    <w:rsid w:val="008225A2"/>
    <w:rsid w:val="00826812"/>
    <w:rsid w:val="00831F6B"/>
    <w:rsid w:val="00842532"/>
    <w:rsid w:val="00845777"/>
    <w:rsid w:val="008458A7"/>
    <w:rsid w:val="008579D0"/>
    <w:rsid w:val="00861461"/>
    <w:rsid w:val="008771C7"/>
    <w:rsid w:val="00883C82"/>
    <w:rsid w:val="00886F1F"/>
    <w:rsid w:val="0089142B"/>
    <w:rsid w:val="008945B9"/>
    <w:rsid w:val="008A1A1D"/>
    <w:rsid w:val="008A1D4A"/>
    <w:rsid w:val="008A4110"/>
    <w:rsid w:val="008A64B1"/>
    <w:rsid w:val="008A7A5A"/>
    <w:rsid w:val="008B634A"/>
    <w:rsid w:val="008B7BF1"/>
    <w:rsid w:val="008B7CB7"/>
    <w:rsid w:val="008C0EB6"/>
    <w:rsid w:val="008C2C4F"/>
    <w:rsid w:val="008C332C"/>
    <w:rsid w:val="008D1A0D"/>
    <w:rsid w:val="008D464A"/>
    <w:rsid w:val="008D6BD9"/>
    <w:rsid w:val="008E331C"/>
    <w:rsid w:val="008E7B93"/>
    <w:rsid w:val="008F3560"/>
    <w:rsid w:val="008F5288"/>
    <w:rsid w:val="008F63BE"/>
    <w:rsid w:val="009046D7"/>
    <w:rsid w:val="0090486B"/>
    <w:rsid w:val="009077BA"/>
    <w:rsid w:val="00911EA4"/>
    <w:rsid w:val="00912FF9"/>
    <w:rsid w:val="009151F9"/>
    <w:rsid w:val="00915C35"/>
    <w:rsid w:val="00920125"/>
    <w:rsid w:val="00927534"/>
    <w:rsid w:val="00931A49"/>
    <w:rsid w:val="0094132A"/>
    <w:rsid w:val="0094406C"/>
    <w:rsid w:val="00950511"/>
    <w:rsid w:val="00957797"/>
    <w:rsid w:val="009674DA"/>
    <w:rsid w:val="00970164"/>
    <w:rsid w:val="00971FB4"/>
    <w:rsid w:val="00974605"/>
    <w:rsid w:val="009769C0"/>
    <w:rsid w:val="0098429A"/>
    <w:rsid w:val="009A7DC6"/>
    <w:rsid w:val="009B5112"/>
    <w:rsid w:val="009B5CDE"/>
    <w:rsid w:val="009B6D36"/>
    <w:rsid w:val="009C27E9"/>
    <w:rsid w:val="009C5E85"/>
    <w:rsid w:val="009D1E89"/>
    <w:rsid w:val="009E3C9D"/>
    <w:rsid w:val="009E56C3"/>
    <w:rsid w:val="009F6F64"/>
    <w:rsid w:val="009F7D4F"/>
    <w:rsid w:val="00A0186B"/>
    <w:rsid w:val="00A05A33"/>
    <w:rsid w:val="00A077D0"/>
    <w:rsid w:val="00A12C63"/>
    <w:rsid w:val="00A15325"/>
    <w:rsid w:val="00A1620E"/>
    <w:rsid w:val="00A20C80"/>
    <w:rsid w:val="00A212CD"/>
    <w:rsid w:val="00A30E9E"/>
    <w:rsid w:val="00A374D4"/>
    <w:rsid w:val="00A405B9"/>
    <w:rsid w:val="00A562CE"/>
    <w:rsid w:val="00A76B57"/>
    <w:rsid w:val="00A80444"/>
    <w:rsid w:val="00A815BF"/>
    <w:rsid w:val="00A825B0"/>
    <w:rsid w:val="00A87799"/>
    <w:rsid w:val="00A90214"/>
    <w:rsid w:val="00A95A47"/>
    <w:rsid w:val="00A95D31"/>
    <w:rsid w:val="00AA2BE0"/>
    <w:rsid w:val="00AA3CA2"/>
    <w:rsid w:val="00AA442C"/>
    <w:rsid w:val="00AA4BD9"/>
    <w:rsid w:val="00AA5EE3"/>
    <w:rsid w:val="00AA79CB"/>
    <w:rsid w:val="00AB0039"/>
    <w:rsid w:val="00AB0AAA"/>
    <w:rsid w:val="00AB737F"/>
    <w:rsid w:val="00AC1AB6"/>
    <w:rsid w:val="00AC1C50"/>
    <w:rsid w:val="00AD0A92"/>
    <w:rsid w:val="00AD1F4F"/>
    <w:rsid w:val="00AD28D7"/>
    <w:rsid w:val="00AD6BD2"/>
    <w:rsid w:val="00AE35E5"/>
    <w:rsid w:val="00AE79F5"/>
    <w:rsid w:val="00AF1203"/>
    <w:rsid w:val="00AF237B"/>
    <w:rsid w:val="00B02160"/>
    <w:rsid w:val="00B0288F"/>
    <w:rsid w:val="00B12EF6"/>
    <w:rsid w:val="00B205C6"/>
    <w:rsid w:val="00B52FF9"/>
    <w:rsid w:val="00B705B7"/>
    <w:rsid w:val="00B73E22"/>
    <w:rsid w:val="00B773B3"/>
    <w:rsid w:val="00B9276F"/>
    <w:rsid w:val="00B930B7"/>
    <w:rsid w:val="00B943F0"/>
    <w:rsid w:val="00BA018D"/>
    <w:rsid w:val="00BA07DF"/>
    <w:rsid w:val="00BB2805"/>
    <w:rsid w:val="00BB7684"/>
    <w:rsid w:val="00BC35B3"/>
    <w:rsid w:val="00BC3E85"/>
    <w:rsid w:val="00BC4DE9"/>
    <w:rsid w:val="00BC5BC1"/>
    <w:rsid w:val="00BD20AA"/>
    <w:rsid w:val="00BD5EC0"/>
    <w:rsid w:val="00BE6DC3"/>
    <w:rsid w:val="00BF2B40"/>
    <w:rsid w:val="00BF39B9"/>
    <w:rsid w:val="00BF56B1"/>
    <w:rsid w:val="00C11837"/>
    <w:rsid w:val="00C133A1"/>
    <w:rsid w:val="00C13D82"/>
    <w:rsid w:val="00C27E6B"/>
    <w:rsid w:val="00C3010B"/>
    <w:rsid w:val="00C34898"/>
    <w:rsid w:val="00C36D74"/>
    <w:rsid w:val="00C3737C"/>
    <w:rsid w:val="00C46BFB"/>
    <w:rsid w:val="00C56DC4"/>
    <w:rsid w:val="00C57002"/>
    <w:rsid w:val="00C82F63"/>
    <w:rsid w:val="00C85B99"/>
    <w:rsid w:val="00C91FA5"/>
    <w:rsid w:val="00CA5094"/>
    <w:rsid w:val="00CB1FA7"/>
    <w:rsid w:val="00CB51AE"/>
    <w:rsid w:val="00CB525B"/>
    <w:rsid w:val="00CB570D"/>
    <w:rsid w:val="00CC0379"/>
    <w:rsid w:val="00CC4156"/>
    <w:rsid w:val="00CC4354"/>
    <w:rsid w:val="00CD4F53"/>
    <w:rsid w:val="00CE082D"/>
    <w:rsid w:val="00CE1441"/>
    <w:rsid w:val="00CE251A"/>
    <w:rsid w:val="00CE351A"/>
    <w:rsid w:val="00CF11DB"/>
    <w:rsid w:val="00D01F4D"/>
    <w:rsid w:val="00D06265"/>
    <w:rsid w:val="00D55B77"/>
    <w:rsid w:val="00D60DAB"/>
    <w:rsid w:val="00D64DB2"/>
    <w:rsid w:val="00D65C89"/>
    <w:rsid w:val="00D71647"/>
    <w:rsid w:val="00D72AEE"/>
    <w:rsid w:val="00D77DA0"/>
    <w:rsid w:val="00D85A7D"/>
    <w:rsid w:val="00D91EC1"/>
    <w:rsid w:val="00DA5A09"/>
    <w:rsid w:val="00DA60C9"/>
    <w:rsid w:val="00DA74A3"/>
    <w:rsid w:val="00DA7A27"/>
    <w:rsid w:val="00DC714F"/>
    <w:rsid w:val="00DD2056"/>
    <w:rsid w:val="00DD237C"/>
    <w:rsid w:val="00DD5BF5"/>
    <w:rsid w:val="00DE092C"/>
    <w:rsid w:val="00DF1445"/>
    <w:rsid w:val="00DF1906"/>
    <w:rsid w:val="00E00661"/>
    <w:rsid w:val="00E0118C"/>
    <w:rsid w:val="00E12170"/>
    <w:rsid w:val="00E17BA3"/>
    <w:rsid w:val="00E17EAB"/>
    <w:rsid w:val="00E2289C"/>
    <w:rsid w:val="00E32A5C"/>
    <w:rsid w:val="00E32AE6"/>
    <w:rsid w:val="00E333C5"/>
    <w:rsid w:val="00E37B26"/>
    <w:rsid w:val="00E45E39"/>
    <w:rsid w:val="00E52086"/>
    <w:rsid w:val="00E53532"/>
    <w:rsid w:val="00E54856"/>
    <w:rsid w:val="00E55D90"/>
    <w:rsid w:val="00E562D2"/>
    <w:rsid w:val="00E610D6"/>
    <w:rsid w:val="00E66679"/>
    <w:rsid w:val="00E67F84"/>
    <w:rsid w:val="00E731D9"/>
    <w:rsid w:val="00E73E70"/>
    <w:rsid w:val="00E85AD1"/>
    <w:rsid w:val="00E86D35"/>
    <w:rsid w:val="00EA3FBA"/>
    <w:rsid w:val="00EA6B53"/>
    <w:rsid w:val="00EB023C"/>
    <w:rsid w:val="00EB4260"/>
    <w:rsid w:val="00EC41B7"/>
    <w:rsid w:val="00EE56A6"/>
    <w:rsid w:val="00EE788C"/>
    <w:rsid w:val="00EF0D2D"/>
    <w:rsid w:val="00EF1178"/>
    <w:rsid w:val="00EF28FB"/>
    <w:rsid w:val="00EF5A1C"/>
    <w:rsid w:val="00F00462"/>
    <w:rsid w:val="00F00F01"/>
    <w:rsid w:val="00F0101F"/>
    <w:rsid w:val="00F048E7"/>
    <w:rsid w:val="00F06462"/>
    <w:rsid w:val="00F156B0"/>
    <w:rsid w:val="00F401A5"/>
    <w:rsid w:val="00F422C4"/>
    <w:rsid w:val="00F42BB1"/>
    <w:rsid w:val="00F513F3"/>
    <w:rsid w:val="00F528DB"/>
    <w:rsid w:val="00F61B06"/>
    <w:rsid w:val="00F62BF2"/>
    <w:rsid w:val="00F6354A"/>
    <w:rsid w:val="00F667C1"/>
    <w:rsid w:val="00F677BB"/>
    <w:rsid w:val="00F70036"/>
    <w:rsid w:val="00F71D07"/>
    <w:rsid w:val="00F72BC3"/>
    <w:rsid w:val="00F77C8B"/>
    <w:rsid w:val="00F92318"/>
    <w:rsid w:val="00F93E6B"/>
    <w:rsid w:val="00FB4869"/>
    <w:rsid w:val="00FB67B7"/>
    <w:rsid w:val="00FB7AE1"/>
    <w:rsid w:val="00FC68C7"/>
    <w:rsid w:val="00FD0738"/>
    <w:rsid w:val="00FD6874"/>
    <w:rsid w:val="00FD6A50"/>
    <w:rsid w:val="00FE2F67"/>
    <w:rsid w:val="00FE4F2B"/>
    <w:rsid w:val="00FE740E"/>
    <w:rsid w:val="00FF3434"/>
    <w:rsid w:val="00FF484E"/>
    <w:rsid w:val="00FF6E3D"/>
    <w:rsid w:val="00FF7148"/>
    <w:rsid w:val="00FF76F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0F9F4795-A5E6-4429-8B56-3E21687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B1"/>
  </w:style>
  <w:style w:type="paragraph" w:styleId="1">
    <w:name w:val="heading 1"/>
    <w:basedOn w:val="a"/>
    <w:next w:val="a"/>
    <w:link w:val="10"/>
    <w:uiPriority w:val="9"/>
    <w:qFormat/>
    <w:rsid w:val="003C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7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7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302"/>
    <w:rPr>
      <w:vertAlign w:val="superscript"/>
    </w:rPr>
  </w:style>
  <w:style w:type="character" w:customStyle="1" w:styleId="fontstyle01">
    <w:name w:val="fontstyle01"/>
    <w:basedOn w:val="a0"/>
    <w:rsid w:val="00A05A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C4"/>
  </w:style>
  <w:style w:type="paragraph" w:styleId="a8">
    <w:name w:val="footer"/>
    <w:basedOn w:val="a"/>
    <w:link w:val="a9"/>
    <w:uiPriority w:val="99"/>
    <w:semiHidden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2C4"/>
  </w:style>
  <w:style w:type="character" w:customStyle="1" w:styleId="10">
    <w:name w:val="Заголовок 1 Знак"/>
    <w:basedOn w:val="a0"/>
    <w:link w:val="1"/>
    <w:uiPriority w:val="9"/>
    <w:rsid w:val="003C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C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C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3C74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74F7"/>
  </w:style>
  <w:style w:type="paragraph" w:styleId="ae">
    <w:name w:val="Body Text Indent"/>
    <w:basedOn w:val="a"/>
    <w:link w:val="af"/>
    <w:uiPriority w:val="99"/>
    <w:unhideWhenUsed/>
    <w:rsid w:val="003C74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C74F7"/>
  </w:style>
  <w:style w:type="paragraph" w:styleId="af0">
    <w:name w:val="Body Text First Indent"/>
    <w:basedOn w:val="ac"/>
    <w:link w:val="af1"/>
    <w:uiPriority w:val="99"/>
    <w:unhideWhenUsed/>
    <w:rsid w:val="003C74F7"/>
    <w:pPr>
      <w:spacing w:after="20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3C74F7"/>
  </w:style>
  <w:style w:type="paragraph" w:styleId="af2">
    <w:name w:val="Balloon Text"/>
    <w:basedOn w:val="a"/>
    <w:link w:val="af3"/>
    <w:uiPriority w:val="99"/>
    <w:semiHidden/>
    <w:unhideWhenUsed/>
    <w:rsid w:val="00E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E39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BF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59712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71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97127"/>
    <w:rPr>
      <w:vertAlign w:val="superscript"/>
    </w:rPr>
  </w:style>
  <w:style w:type="character" w:styleId="af8">
    <w:name w:val="Hyperlink"/>
    <w:basedOn w:val="a0"/>
    <w:uiPriority w:val="99"/>
    <w:unhideWhenUsed/>
    <w:rsid w:val="00770F2B"/>
    <w:rPr>
      <w:color w:val="0000FF" w:themeColor="hyperlink"/>
      <w:u w:val="single"/>
    </w:rPr>
  </w:style>
  <w:style w:type="paragraph" w:styleId="af9">
    <w:name w:val="Normal (Web)"/>
    <w:basedOn w:val="a"/>
    <w:uiPriority w:val="99"/>
    <w:semiHidden/>
    <w:unhideWhenUsed/>
    <w:rsid w:val="0019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pi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010F-49A9-472B-A609-AD21E879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golovleva</dc:creator>
  <cp:lastModifiedBy>demov</cp:lastModifiedBy>
  <cp:revision>2</cp:revision>
  <cp:lastPrinted>2024-02-29T13:58:00Z</cp:lastPrinted>
  <dcterms:created xsi:type="dcterms:W3CDTF">2024-03-11T09:31:00Z</dcterms:created>
  <dcterms:modified xsi:type="dcterms:W3CDTF">2024-03-11T09:31:00Z</dcterms:modified>
</cp:coreProperties>
</file>